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pPr w:leftFromText="180" w:rightFromText="180" w:vertAnchor="text" w:tblpY="1"/>
        <w:tblOverlap w:val="never"/>
        <w:tblW w:w="0" w:type="auto"/>
        <w:tblLook w:val="0000" w:firstRow="0" w:lastRow="0" w:firstColumn="0" w:lastColumn="0" w:noHBand="0" w:noVBand="0"/>
        <w:tblCaption w:val="Cabinet report summary details"/>
      </w:tblPr>
      <w:tblGrid>
        <w:gridCol w:w="3397"/>
        <w:gridCol w:w="4912"/>
      </w:tblGrid>
      <w:tr w:rsidR="00333FAA" w14:paraId="322EF0DF" w14:textId="77777777" w:rsidTr="00A96D7E">
        <w:trPr>
          <w:trHeight w:val="567"/>
        </w:trPr>
        <w:tc>
          <w:tcPr>
            <w:tcW w:w="3397" w:type="dxa"/>
            <w:tcBorders>
              <w:bottom w:val="single" w:sz="18" w:space="0" w:color="auto"/>
            </w:tcBorders>
          </w:tcPr>
          <w:p w14:paraId="10F9A427" w14:textId="77777777" w:rsidR="00333FAA" w:rsidRPr="00B805DB" w:rsidRDefault="005811F8" w:rsidP="004B0F7C">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5B332C43" w:rsidR="00333FAA" w:rsidRPr="005E3A10" w:rsidRDefault="005811F8" w:rsidP="004B0F7C">
            <w:pPr>
              <w:pStyle w:val="Heading1"/>
              <w:outlineLvl w:val="0"/>
              <w:rPr>
                <w:szCs w:val="24"/>
              </w:rPr>
            </w:pPr>
            <w:r w:rsidRPr="005E3A10">
              <w:t>Cabinet</w:t>
            </w:r>
          </w:p>
        </w:tc>
      </w:tr>
      <w:tr w:rsidR="00333FAA" w14:paraId="67D60646" w14:textId="77777777" w:rsidTr="004B0F7C">
        <w:tc>
          <w:tcPr>
            <w:tcW w:w="3397" w:type="dxa"/>
            <w:tcBorders>
              <w:top w:val="single" w:sz="18" w:space="0" w:color="auto"/>
            </w:tcBorders>
          </w:tcPr>
          <w:p w14:paraId="4DDB5947" w14:textId="77777777" w:rsidR="00333FAA" w:rsidRPr="00C13A5F" w:rsidRDefault="00333FAA" w:rsidP="004B0F7C">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124F9B48" w:rsidR="00333FAA" w:rsidRPr="005E3A10" w:rsidRDefault="00AD19F7" w:rsidP="004B0F7C">
            <w:pPr>
              <w:rPr>
                <w:rFonts w:cs="Arial"/>
                <w:szCs w:val="24"/>
              </w:rPr>
            </w:pPr>
            <w:r>
              <w:rPr>
                <w:rFonts w:cs="Arial"/>
                <w:szCs w:val="24"/>
              </w:rPr>
              <w:t>25</w:t>
            </w:r>
            <w:r w:rsidRPr="00B05750">
              <w:rPr>
                <w:rFonts w:cs="Arial"/>
                <w:szCs w:val="24"/>
                <w:vertAlign w:val="superscript"/>
              </w:rPr>
              <w:t>th</w:t>
            </w:r>
            <w:r>
              <w:rPr>
                <w:rFonts w:cs="Arial"/>
                <w:szCs w:val="24"/>
              </w:rPr>
              <w:t xml:space="preserve"> May 2023</w:t>
            </w:r>
          </w:p>
        </w:tc>
      </w:tr>
      <w:tr w:rsidR="00333FAA" w14:paraId="3CC97725" w14:textId="77777777" w:rsidTr="004B0F7C">
        <w:tc>
          <w:tcPr>
            <w:tcW w:w="3397" w:type="dxa"/>
          </w:tcPr>
          <w:p w14:paraId="18BB8951" w14:textId="77777777" w:rsidR="00333FAA" w:rsidRPr="00C13A5F" w:rsidRDefault="00333FAA" w:rsidP="004B0F7C">
            <w:pPr>
              <w:pStyle w:val="Infotext"/>
              <w:spacing w:after="240"/>
              <w:rPr>
                <w:rFonts w:ascii="Arial Black" w:hAnsi="Arial Black"/>
              </w:rPr>
            </w:pPr>
            <w:r w:rsidRPr="00C13A5F">
              <w:rPr>
                <w:rFonts w:ascii="Arial Black" w:hAnsi="Arial Black" w:cs="Arial"/>
              </w:rPr>
              <w:t>Subject:</w:t>
            </w:r>
          </w:p>
        </w:tc>
        <w:tc>
          <w:tcPr>
            <w:tcW w:w="4912" w:type="dxa"/>
          </w:tcPr>
          <w:p w14:paraId="7D377AF7" w14:textId="6BA159E0" w:rsidR="00200DD4" w:rsidRPr="00C77234" w:rsidRDefault="00200DD4" w:rsidP="004B0F7C">
            <w:pPr>
              <w:rPr>
                <w:rFonts w:cs="Arial"/>
                <w:sz w:val="22"/>
              </w:rPr>
            </w:pPr>
            <w:r w:rsidRPr="00C77234">
              <w:rPr>
                <w:rFonts w:cs="Arial"/>
              </w:rPr>
              <w:t>Procurement of Kitchens &amp; Bathrooms Refurbishment and Procurement of Windows &amp; Doors Renewal</w:t>
            </w:r>
          </w:p>
          <w:p w14:paraId="6D8FB2C1" w14:textId="65D4C458" w:rsidR="00333FAA" w:rsidRPr="005E3A10" w:rsidRDefault="00333FAA" w:rsidP="004B0F7C">
            <w:pPr>
              <w:rPr>
                <w:rFonts w:cs="Arial"/>
                <w:szCs w:val="24"/>
              </w:rPr>
            </w:pPr>
          </w:p>
        </w:tc>
      </w:tr>
      <w:tr w:rsidR="00333FAA" w14:paraId="32449166" w14:textId="77777777" w:rsidTr="004B0F7C">
        <w:tc>
          <w:tcPr>
            <w:tcW w:w="3397" w:type="dxa"/>
          </w:tcPr>
          <w:p w14:paraId="17ECA8FA" w14:textId="77777777" w:rsidR="00333FAA" w:rsidRPr="00C13A5F" w:rsidRDefault="00333FAA" w:rsidP="004B0F7C">
            <w:pPr>
              <w:pStyle w:val="Infotext"/>
              <w:spacing w:after="240"/>
              <w:rPr>
                <w:rFonts w:ascii="Arial Black" w:hAnsi="Arial Black" w:cs="Arial"/>
              </w:rPr>
            </w:pPr>
            <w:r w:rsidRPr="00C13A5F">
              <w:rPr>
                <w:rFonts w:ascii="Arial Black" w:hAnsi="Arial Black" w:cs="Arial"/>
              </w:rPr>
              <w:t>Key Decision:</w:t>
            </w:r>
          </w:p>
        </w:tc>
        <w:tc>
          <w:tcPr>
            <w:tcW w:w="4912" w:type="dxa"/>
          </w:tcPr>
          <w:p w14:paraId="59BA4E86" w14:textId="1DE83CFD" w:rsidR="0088004A" w:rsidRDefault="001C7E35" w:rsidP="004B0F7C">
            <w:pPr>
              <w:pStyle w:val="Infotext"/>
              <w:rPr>
                <w:rFonts w:cs="Arial"/>
                <w:sz w:val="24"/>
                <w:szCs w:val="24"/>
              </w:rPr>
            </w:pPr>
            <w:r w:rsidRPr="005E3A10">
              <w:rPr>
                <w:rFonts w:cs="Arial"/>
                <w:sz w:val="24"/>
                <w:szCs w:val="24"/>
              </w:rPr>
              <w:t xml:space="preserve">Yes </w:t>
            </w:r>
            <w:r w:rsidR="00B8605D">
              <w:rPr>
                <w:rFonts w:cs="Arial"/>
                <w:sz w:val="24"/>
                <w:szCs w:val="24"/>
              </w:rPr>
              <w:t>- procuring the service will exceed the threshold of £500k</w:t>
            </w:r>
          </w:p>
          <w:p w14:paraId="71CB61F9" w14:textId="77777777" w:rsidR="0088004A" w:rsidRDefault="0088004A" w:rsidP="004B0F7C">
            <w:pPr>
              <w:pStyle w:val="Infotext"/>
              <w:rPr>
                <w:rFonts w:cs="Arial"/>
                <w:color w:val="FF0000"/>
                <w:sz w:val="24"/>
                <w:szCs w:val="24"/>
              </w:rPr>
            </w:pPr>
          </w:p>
          <w:p w14:paraId="3EADF2B3" w14:textId="77777777" w:rsidR="00333FAA" w:rsidRPr="005E3A10" w:rsidRDefault="00333FAA" w:rsidP="004B0F7C">
            <w:pPr>
              <w:pStyle w:val="Infotext"/>
              <w:rPr>
                <w:rFonts w:cs="Arial"/>
                <w:szCs w:val="24"/>
              </w:rPr>
            </w:pPr>
          </w:p>
        </w:tc>
      </w:tr>
      <w:tr w:rsidR="001C7E35" w14:paraId="79E96200" w14:textId="77777777" w:rsidTr="004B0F7C">
        <w:tc>
          <w:tcPr>
            <w:tcW w:w="3397" w:type="dxa"/>
          </w:tcPr>
          <w:p w14:paraId="0B8ABDC4" w14:textId="77777777" w:rsidR="001C7E35" w:rsidRPr="00C13A5F" w:rsidRDefault="001C7E35" w:rsidP="004B0F7C">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4DD5460D" w14:textId="253C5387" w:rsidR="00AF4CFA" w:rsidRDefault="00AF4CFA" w:rsidP="004B0F7C">
            <w:pPr>
              <w:pStyle w:val="Infotext"/>
              <w:rPr>
                <w:rFonts w:cs="Arial"/>
                <w:sz w:val="24"/>
                <w:szCs w:val="24"/>
              </w:rPr>
            </w:pPr>
            <w:r>
              <w:rPr>
                <w:rFonts w:cs="Arial"/>
                <w:sz w:val="24"/>
                <w:szCs w:val="24"/>
              </w:rPr>
              <w:t xml:space="preserve">Dipti Patel </w:t>
            </w:r>
            <w:r w:rsidR="008267BD">
              <w:rPr>
                <w:rFonts w:cs="Arial"/>
                <w:sz w:val="24"/>
                <w:szCs w:val="24"/>
              </w:rPr>
              <w:t xml:space="preserve">- </w:t>
            </w:r>
            <w:r>
              <w:rPr>
                <w:rFonts w:cs="Arial"/>
                <w:sz w:val="24"/>
                <w:szCs w:val="24"/>
              </w:rPr>
              <w:t xml:space="preserve">Corporate Director </w:t>
            </w:r>
            <w:r w:rsidR="008267BD">
              <w:rPr>
                <w:rFonts w:cs="Arial"/>
                <w:sz w:val="24"/>
                <w:szCs w:val="24"/>
              </w:rPr>
              <w:t xml:space="preserve">of </w:t>
            </w:r>
            <w:r>
              <w:rPr>
                <w:rFonts w:cs="Arial"/>
                <w:sz w:val="24"/>
                <w:szCs w:val="24"/>
              </w:rPr>
              <w:t xml:space="preserve">Place </w:t>
            </w:r>
          </w:p>
          <w:p w14:paraId="4A4828B4" w14:textId="0F0841DC" w:rsidR="0088004A" w:rsidRPr="005E3A10" w:rsidRDefault="0088004A" w:rsidP="004B0F7C">
            <w:pPr>
              <w:pStyle w:val="Infotext"/>
              <w:rPr>
                <w:rFonts w:cs="Arial"/>
                <w:sz w:val="24"/>
                <w:szCs w:val="24"/>
              </w:rPr>
            </w:pPr>
            <w:r>
              <w:rPr>
                <w:rFonts w:cs="Arial"/>
                <w:sz w:val="24"/>
                <w:szCs w:val="24"/>
              </w:rPr>
              <w:t xml:space="preserve">David McNulty </w:t>
            </w:r>
            <w:r w:rsidR="008267BD">
              <w:rPr>
                <w:rFonts w:cs="Arial"/>
                <w:sz w:val="24"/>
                <w:szCs w:val="24"/>
              </w:rPr>
              <w:t xml:space="preserve">- </w:t>
            </w:r>
            <w:r>
              <w:rPr>
                <w:rFonts w:cs="Arial"/>
                <w:sz w:val="24"/>
                <w:szCs w:val="24"/>
              </w:rPr>
              <w:t xml:space="preserve">Divisional Director of Housing </w:t>
            </w:r>
            <w:r w:rsidRPr="005E3A10">
              <w:rPr>
                <w:rFonts w:cs="Arial"/>
                <w:sz w:val="24"/>
                <w:szCs w:val="24"/>
              </w:rPr>
              <w:t xml:space="preserve">  </w:t>
            </w:r>
          </w:p>
          <w:p w14:paraId="3798BF23" w14:textId="77777777" w:rsidR="001C7E35" w:rsidRPr="005E3A10" w:rsidRDefault="001C7E35" w:rsidP="004B0F7C">
            <w:pPr>
              <w:pStyle w:val="Infotext"/>
              <w:rPr>
                <w:rFonts w:cs="Arial"/>
                <w:sz w:val="24"/>
                <w:szCs w:val="24"/>
              </w:rPr>
            </w:pPr>
          </w:p>
        </w:tc>
      </w:tr>
      <w:tr w:rsidR="0088004A" w14:paraId="3B6FD8B1" w14:textId="77777777" w:rsidTr="004B0F7C">
        <w:tc>
          <w:tcPr>
            <w:tcW w:w="3397" w:type="dxa"/>
          </w:tcPr>
          <w:p w14:paraId="0961945D" w14:textId="77777777" w:rsidR="0088004A" w:rsidRPr="00C13A5F" w:rsidRDefault="0088004A" w:rsidP="004B0F7C">
            <w:pPr>
              <w:pStyle w:val="Infotext"/>
              <w:spacing w:after="240"/>
              <w:rPr>
                <w:rFonts w:ascii="Arial Black" w:hAnsi="Arial Black"/>
              </w:rPr>
            </w:pPr>
            <w:r w:rsidRPr="00DB6C3D">
              <w:rPr>
                <w:rFonts w:ascii="Arial Black" w:hAnsi="Arial Black"/>
              </w:rPr>
              <w:t>Portfolio Holder:</w:t>
            </w:r>
          </w:p>
        </w:tc>
        <w:tc>
          <w:tcPr>
            <w:tcW w:w="4912" w:type="dxa"/>
          </w:tcPr>
          <w:p w14:paraId="66DA8D51" w14:textId="22134FE1" w:rsidR="0088004A" w:rsidRPr="00EE64A9" w:rsidRDefault="0088004A" w:rsidP="004B0F7C">
            <w:pPr>
              <w:pStyle w:val="Infotext"/>
              <w:rPr>
                <w:rFonts w:cs="Arial"/>
                <w:color w:val="252B36"/>
                <w:sz w:val="24"/>
                <w:szCs w:val="24"/>
              </w:rPr>
            </w:pPr>
            <w:r w:rsidRPr="005F6473">
              <w:rPr>
                <w:rFonts w:cs="Arial"/>
                <w:sz w:val="24"/>
                <w:szCs w:val="24"/>
              </w:rPr>
              <w:t>Councillor Mina Parmar</w:t>
            </w:r>
            <w:r w:rsidR="008267BD">
              <w:rPr>
                <w:rFonts w:cs="Arial"/>
                <w:sz w:val="24"/>
                <w:szCs w:val="24"/>
              </w:rPr>
              <w:t xml:space="preserve"> - </w:t>
            </w:r>
            <w:r w:rsidRPr="005F6473">
              <w:rPr>
                <w:rFonts w:cs="Arial"/>
                <w:color w:val="252B36"/>
                <w:sz w:val="24"/>
                <w:szCs w:val="24"/>
              </w:rPr>
              <w:t>Portfolio</w:t>
            </w:r>
            <w:r w:rsidRPr="00EE64A9">
              <w:rPr>
                <w:rFonts w:cs="Arial"/>
                <w:color w:val="252B36"/>
                <w:sz w:val="24"/>
                <w:szCs w:val="24"/>
              </w:rPr>
              <w:t xml:space="preserve"> Holder for Housing</w:t>
            </w:r>
          </w:p>
          <w:p w14:paraId="39A9A01A" w14:textId="7F6347E1" w:rsidR="0088004A" w:rsidRPr="005E3A10" w:rsidRDefault="0088004A" w:rsidP="004B0F7C">
            <w:pPr>
              <w:pStyle w:val="Infotext"/>
              <w:rPr>
                <w:rFonts w:cs="Arial"/>
                <w:color w:val="FF0000"/>
                <w:sz w:val="24"/>
                <w:szCs w:val="24"/>
              </w:rPr>
            </w:pPr>
          </w:p>
        </w:tc>
      </w:tr>
      <w:tr w:rsidR="001C7E35" w14:paraId="3CF618C8" w14:textId="77777777" w:rsidTr="00A96D7E">
        <w:trPr>
          <w:trHeight w:val="1757"/>
        </w:trPr>
        <w:tc>
          <w:tcPr>
            <w:tcW w:w="3397" w:type="dxa"/>
          </w:tcPr>
          <w:p w14:paraId="4CD8D092" w14:textId="77777777" w:rsidR="001C7E35" w:rsidRPr="00C13A5F" w:rsidRDefault="001C7E35" w:rsidP="004B0F7C">
            <w:pPr>
              <w:pStyle w:val="Infotext"/>
              <w:spacing w:after="240"/>
              <w:rPr>
                <w:rFonts w:ascii="Arial Black" w:hAnsi="Arial Black"/>
              </w:rPr>
            </w:pPr>
            <w:r w:rsidRPr="00DB6C3D">
              <w:rPr>
                <w:rFonts w:ascii="Arial Black" w:hAnsi="Arial Black"/>
              </w:rPr>
              <w:t>Exempt:</w:t>
            </w:r>
          </w:p>
        </w:tc>
        <w:tc>
          <w:tcPr>
            <w:tcW w:w="4912" w:type="dxa"/>
          </w:tcPr>
          <w:p w14:paraId="0011ADC4" w14:textId="77777777" w:rsidR="001C7E35" w:rsidRDefault="001C7E35" w:rsidP="00027649">
            <w:pPr>
              <w:pStyle w:val="Infotext"/>
              <w:rPr>
                <w:sz w:val="24"/>
              </w:rPr>
            </w:pPr>
            <w:r w:rsidRPr="005E3A10">
              <w:rPr>
                <w:rFonts w:cs="Arial"/>
                <w:sz w:val="24"/>
                <w:szCs w:val="24"/>
              </w:rPr>
              <w:t>No</w:t>
            </w:r>
            <w:r w:rsidR="003069ED">
              <w:rPr>
                <w:rFonts w:cs="Arial"/>
                <w:sz w:val="24"/>
                <w:szCs w:val="24"/>
              </w:rPr>
              <w:t xml:space="preserve">, except </w:t>
            </w:r>
            <w:r w:rsidR="008023AE">
              <w:rPr>
                <w:rFonts w:cs="Arial"/>
                <w:sz w:val="24"/>
                <w:szCs w:val="24"/>
              </w:rPr>
              <w:t xml:space="preserve">for appendices </w:t>
            </w:r>
            <w:r w:rsidR="00CF6997">
              <w:rPr>
                <w:rFonts w:cs="Arial"/>
                <w:sz w:val="24"/>
                <w:szCs w:val="24"/>
              </w:rPr>
              <w:t>1,2,3</w:t>
            </w:r>
            <w:r w:rsidR="009805C1">
              <w:rPr>
                <w:rFonts w:cs="Arial"/>
                <w:sz w:val="24"/>
                <w:szCs w:val="24"/>
              </w:rPr>
              <w:t>,</w:t>
            </w:r>
            <w:r w:rsidR="00CF6997">
              <w:rPr>
                <w:rFonts w:cs="Arial"/>
                <w:sz w:val="24"/>
                <w:szCs w:val="24"/>
              </w:rPr>
              <w:t>4</w:t>
            </w:r>
            <w:r w:rsidR="009805C1">
              <w:rPr>
                <w:rFonts w:cs="Arial"/>
                <w:sz w:val="24"/>
                <w:szCs w:val="24"/>
              </w:rPr>
              <w:t>,5</w:t>
            </w:r>
            <w:r w:rsidR="004E2FD2">
              <w:rPr>
                <w:rFonts w:cs="Arial"/>
                <w:sz w:val="24"/>
                <w:szCs w:val="24"/>
              </w:rPr>
              <w:t>,6 &amp; 7</w:t>
            </w:r>
            <w:r w:rsidR="00887514">
              <w:rPr>
                <w:rFonts w:cs="Arial"/>
                <w:sz w:val="24"/>
                <w:szCs w:val="24"/>
              </w:rPr>
              <w:t xml:space="preserve"> </w:t>
            </w:r>
            <w:r w:rsidR="00CF6997">
              <w:rPr>
                <w:rFonts w:cs="Arial"/>
                <w:sz w:val="24"/>
                <w:szCs w:val="24"/>
              </w:rPr>
              <w:t xml:space="preserve">which are exempt </w:t>
            </w:r>
            <w:r w:rsidR="00B8605D">
              <w:rPr>
                <w:rFonts w:cs="Arial"/>
                <w:sz w:val="24"/>
                <w:szCs w:val="24"/>
              </w:rPr>
              <w:t xml:space="preserve">by virtue of </w:t>
            </w:r>
            <w:r w:rsidR="00977238" w:rsidRPr="00977238">
              <w:rPr>
                <w:sz w:val="24"/>
              </w:rPr>
              <w:t>Para</w:t>
            </w:r>
            <w:r w:rsidR="00B8605D">
              <w:rPr>
                <w:sz w:val="24"/>
              </w:rPr>
              <w:t>graph</w:t>
            </w:r>
            <w:r w:rsidR="00977238" w:rsidRPr="00977238">
              <w:rPr>
                <w:sz w:val="24"/>
              </w:rPr>
              <w:t xml:space="preserve"> 3 of Schedule 12A of the L</w:t>
            </w:r>
            <w:r w:rsidR="00DA69AD">
              <w:rPr>
                <w:sz w:val="24"/>
              </w:rPr>
              <w:t xml:space="preserve">ocal </w:t>
            </w:r>
            <w:r w:rsidR="00977238" w:rsidRPr="00977238">
              <w:rPr>
                <w:sz w:val="24"/>
              </w:rPr>
              <w:t>G</w:t>
            </w:r>
            <w:r w:rsidR="00DA69AD">
              <w:rPr>
                <w:sz w:val="24"/>
              </w:rPr>
              <w:t xml:space="preserve">overnment </w:t>
            </w:r>
            <w:r w:rsidR="00977238" w:rsidRPr="00977238">
              <w:rPr>
                <w:sz w:val="24"/>
              </w:rPr>
              <w:t>A</w:t>
            </w:r>
            <w:r w:rsidR="00DA69AD">
              <w:rPr>
                <w:sz w:val="24"/>
              </w:rPr>
              <w:t>ct</w:t>
            </w:r>
            <w:r w:rsidR="00977238" w:rsidRPr="00977238">
              <w:rPr>
                <w:sz w:val="24"/>
              </w:rPr>
              <w:t xml:space="preserve"> 1972</w:t>
            </w:r>
            <w:r w:rsidR="00B8605D">
              <w:rPr>
                <w:sz w:val="24"/>
              </w:rPr>
              <w:t xml:space="preserve"> because they contain information relating to the financial &amp; business affairs of the </w:t>
            </w:r>
            <w:r w:rsidR="008267BD">
              <w:rPr>
                <w:sz w:val="24"/>
              </w:rPr>
              <w:t>C</w:t>
            </w:r>
            <w:r w:rsidR="00B8605D">
              <w:rPr>
                <w:sz w:val="24"/>
              </w:rPr>
              <w:t>ouncil</w:t>
            </w:r>
          </w:p>
          <w:p w14:paraId="755E47D1" w14:textId="4D2E30C4" w:rsidR="008267BD" w:rsidRPr="005E3A10" w:rsidRDefault="008267BD" w:rsidP="00027649">
            <w:pPr>
              <w:pStyle w:val="Infotext"/>
              <w:rPr>
                <w:rFonts w:cs="Arial"/>
                <w:color w:val="FF0000"/>
                <w:sz w:val="24"/>
                <w:szCs w:val="24"/>
              </w:rPr>
            </w:pPr>
          </w:p>
        </w:tc>
      </w:tr>
      <w:tr w:rsidR="001C7E35" w14:paraId="577CD75A" w14:textId="77777777" w:rsidTr="00A96D7E">
        <w:trPr>
          <w:trHeight w:val="821"/>
        </w:trPr>
        <w:tc>
          <w:tcPr>
            <w:tcW w:w="3397" w:type="dxa"/>
          </w:tcPr>
          <w:p w14:paraId="4821943C" w14:textId="77777777" w:rsidR="001C7E35" w:rsidRPr="00C13A5F" w:rsidRDefault="001C7E35" w:rsidP="004B0F7C">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5FDFBED3" w:rsidR="00714BEE" w:rsidRPr="005E3A10" w:rsidRDefault="001C7E35" w:rsidP="004B0F7C">
            <w:pPr>
              <w:pStyle w:val="Infotext"/>
              <w:rPr>
                <w:rFonts w:cs="Arial"/>
                <w:szCs w:val="24"/>
              </w:rPr>
            </w:pPr>
            <w:r w:rsidRPr="005E3A10">
              <w:rPr>
                <w:rFonts w:cs="Arial"/>
                <w:sz w:val="24"/>
                <w:szCs w:val="24"/>
              </w:rPr>
              <w:t>Yes</w:t>
            </w:r>
            <w:r w:rsidR="00FD639A">
              <w:rPr>
                <w:rFonts w:cs="Arial"/>
                <w:sz w:val="24"/>
                <w:szCs w:val="24"/>
              </w:rPr>
              <w:t xml:space="preserve"> </w:t>
            </w:r>
          </w:p>
        </w:tc>
      </w:tr>
      <w:tr w:rsidR="001C7E35" w14:paraId="7E5497E1" w14:textId="77777777" w:rsidTr="00A96D7E">
        <w:trPr>
          <w:trHeight w:val="496"/>
        </w:trPr>
        <w:tc>
          <w:tcPr>
            <w:tcW w:w="3397" w:type="dxa"/>
          </w:tcPr>
          <w:p w14:paraId="6B5E6A6A" w14:textId="77777777" w:rsidR="001C7E35" w:rsidRPr="00C13A5F" w:rsidRDefault="001C7E35" w:rsidP="004B0F7C">
            <w:pPr>
              <w:pStyle w:val="Infotext"/>
              <w:spacing w:after="240"/>
              <w:rPr>
                <w:rFonts w:ascii="Arial Black" w:hAnsi="Arial Black" w:cs="Arial"/>
              </w:rPr>
            </w:pPr>
            <w:r>
              <w:rPr>
                <w:rFonts w:ascii="Arial Black" w:hAnsi="Arial Black" w:cs="Arial"/>
              </w:rPr>
              <w:t>Wards affected:</w:t>
            </w:r>
          </w:p>
        </w:tc>
        <w:tc>
          <w:tcPr>
            <w:tcW w:w="4912" w:type="dxa"/>
          </w:tcPr>
          <w:p w14:paraId="52E38AE7" w14:textId="266FFE65" w:rsidR="00307F76" w:rsidRPr="00307F76" w:rsidRDefault="0088004A" w:rsidP="004B0F7C">
            <w:pPr>
              <w:rPr>
                <w:rFonts w:cs="Arial"/>
                <w:b/>
                <w:color w:val="FF0000"/>
                <w:szCs w:val="24"/>
              </w:rPr>
            </w:pPr>
            <w:r>
              <w:rPr>
                <w:rFonts w:cs="Arial"/>
                <w:szCs w:val="24"/>
              </w:rPr>
              <w:t xml:space="preserve">All Wards </w:t>
            </w:r>
          </w:p>
        </w:tc>
      </w:tr>
      <w:tr w:rsidR="001C7E35" w14:paraId="5F1445BF" w14:textId="77777777" w:rsidTr="004B0F7C">
        <w:tc>
          <w:tcPr>
            <w:tcW w:w="3397" w:type="dxa"/>
          </w:tcPr>
          <w:p w14:paraId="0E539C63" w14:textId="77777777" w:rsidR="001C7E35" w:rsidRPr="00C13A5F" w:rsidRDefault="001C7E35" w:rsidP="004B0F7C">
            <w:pPr>
              <w:pStyle w:val="Infotext"/>
              <w:spacing w:after="240"/>
              <w:rPr>
                <w:rFonts w:ascii="Arial Black" w:hAnsi="Arial Black" w:cs="Arial"/>
              </w:rPr>
            </w:pPr>
            <w:r w:rsidRPr="00C13A5F">
              <w:rPr>
                <w:rFonts w:ascii="Arial Black" w:hAnsi="Arial Black" w:cs="Arial"/>
              </w:rPr>
              <w:t>Enclosures:</w:t>
            </w:r>
          </w:p>
        </w:tc>
        <w:tc>
          <w:tcPr>
            <w:tcW w:w="4912" w:type="dxa"/>
          </w:tcPr>
          <w:p w14:paraId="2C238E52" w14:textId="41A2E33D" w:rsidR="002675D7" w:rsidRPr="004B0F7C" w:rsidRDefault="002675D7" w:rsidP="004B0F7C">
            <w:pPr>
              <w:pStyle w:val="Infotext"/>
              <w:rPr>
                <w:rFonts w:cs="Arial"/>
                <w:sz w:val="22"/>
                <w:szCs w:val="22"/>
              </w:rPr>
            </w:pPr>
            <w:r w:rsidRPr="004B0F7C">
              <w:rPr>
                <w:rFonts w:cs="Arial"/>
                <w:b/>
                <w:bCs/>
                <w:sz w:val="22"/>
                <w:szCs w:val="22"/>
              </w:rPr>
              <w:t>Appendix 1</w:t>
            </w:r>
            <w:r w:rsidRPr="004B0F7C">
              <w:rPr>
                <w:rFonts w:cs="Arial"/>
                <w:sz w:val="22"/>
                <w:szCs w:val="22"/>
              </w:rPr>
              <w:t xml:space="preserve"> – </w:t>
            </w:r>
            <w:r w:rsidR="00CA7833">
              <w:rPr>
                <w:rFonts w:cs="Arial"/>
                <w:sz w:val="22"/>
                <w:szCs w:val="22"/>
              </w:rPr>
              <w:t xml:space="preserve">Draft </w:t>
            </w:r>
            <w:r w:rsidRPr="004B0F7C">
              <w:rPr>
                <w:rFonts w:cs="Arial"/>
                <w:sz w:val="22"/>
                <w:szCs w:val="22"/>
              </w:rPr>
              <w:t xml:space="preserve">ITT </w:t>
            </w:r>
            <w:r w:rsidR="001C3E0E" w:rsidRPr="004B0F7C">
              <w:rPr>
                <w:rFonts w:cs="Arial"/>
                <w:sz w:val="22"/>
                <w:szCs w:val="22"/>
              </w:rPr>
              <w:t>Ki</w:t>
            </w:r>
            <w:r w:rsidR="00A71CEB" w:rsidRPr="004B0F7C">
              <w:rPr>
                <w:rFonts w:cs="Arial"/>
                <w:sz w:val="22"/>
                <w:szCs w:val="22"/>
              </w:rPr>
              <w:t>tchens &amp; Bathrooms</w:t>
            </w:r>
            <w:r w:rsidRPr="004B0F7C">
              <w:rPr>
                <w:rFonts w:cs="Arial"/>
                <w:sz w:val="22"/>
                <w:szCs w:val="22"/>
              </w:rPr>
              <w:t xml:space="preserve"> </w:t>
            </w:r>
            <w:r w:rsidR="008E57E6">
              <w:rPr>
                <w:rFonts w:cs="Arial"/>
                <w:sz w:val="22"/>
                <w:szCs w:val="22"/>
              </w:rPr>
              <w:t>Refurb</w:t>
            </w:r>
            <w:r w:rsidR="008E57E6" w:rsidRPr="004B0F7C">
              <w:rPr>
                <w:rFonts w:cs="Arial"/>
                <w:sz w:val="22"/>
                <w:szCs w:val="22"/>
              </w:rPr>
              <w:t xml:space="preserve"> </w:t>
            </w:r>
            <w:r w:rsidR="00B8605D" w:rsidRPr="004B0F7C">
              <w:rPr>
                <w:rFonts w:cs="Arial"/>
                <w:sz w:val="22"/>
                <w:szCs w:val="22"/>
              </w:rPr>
              <w:t>(Exempt)</w:t>
            </w:r>
          </w:p>
          <w:p w14:paraId="7341483B" w14:textId="2FA2BB11" w:rsidR="00030734" w:rsidRPr="004B0F7C" w:rsidRDefault="002675D7" w:rsidP="00030734">
            <w:pPr>
              <w:pStyle w:val="Infotext"/>
              <w:rPr>
                <w:rFonts w:cs="Arial"/>
                <w:sz w:val="22"/>
                <w:szCs w:val="22"/>
              </w:rPr>
            </w:pPr>
            <w:r w:rsidRPr="004B0F7C">
              <w:rPr>
                <w:rFonts w:cs="Arial"/>
                <w:b/>
                <w:bCs/>
                <w:sz w:val="22"/>
                <w:szCs w:val="22"/>
              </w:rPr>
              <w:t>Appendix 2</w:t>
            </w:r>
            <w:r w:rsidRPr="004B0F7C">
              <w:rPr>
                <w:rFonts w:cs="Arial"/>
                <w:sz w:val="22"/>
                <w:szCs w:val="22"/>
              </w:rPr>
              <w:t xml:space="preserve"> </w:t>
            </w:r>
            <w:r w:rsidR="00A96D7E" w:rsidRPr="004B0F7C">
              <w:rPr>
                <w:rFonts w:cs="Arial"/>
                <w:sz w:val="22"/>
                <w:szCs w:val="22"/>
              </w:rPr>
              <w:t xml:space="preserve">– </w:t>
            </w:r>
            <w:r w:rsidR="002D47EC" w:rsidRPr="002D47EC">
              <w:rPr>
                <w:rFonts w:cs="Arial"/>
                <w:sz w:val="22"/>
                <w:szCs w:val="22"/>
              </w:rPr>
              <w:t>Articles of Agreement - JCT ICD Kitchens and Bathrooms</w:t>
            </w:r>
            <w:r w:rsidR="002D47EC" w:rsidRPr="002D47EC" w:rsidDel="002D47EC">
              <w:rPr>
                <w:rFonts w:cs="Arial"/>
                <w:sz w:val="22"/>
                <w:szCs w:val="22"/>
              </w:rPr>
              <w:t xml:space="preserve"> </w:t>
            </w:r>
            <w:r w:rsidR="00030734" w:rsidRPr="004B0F7C">
              <w:rPr>
                <w:rFonts w:cs="Arial"/>
                <w:sz w:val="22"/>
                <w:szCs w:val="22"/>
              </w:rPr>
              <w:t>(Exempt)</w:t>
            </w:r>
          </w:p>
          <w:p w14:paraId="440B04FF" w14:textId="47A641D2" w:rsidR="000B3769" w:rsidRPr="004B0F7C" w:rsidRDefault="003747BE" w:rsidP="004B0F7C">
            <w:pPr>
              <w:pStyle w:val="Infotext"/>
              <w:rPr>
                <w:rFonts w:cs="Arial"/>
                <w:sz w:val="22"/>
                <w:szCs w:val="22"/>
              </w:rPr>
            </w:pPr>
            <w:r w:rsidRPr="004B0F7C">
              <w:rPr>
                <w:rFonts w:cs="Arial"/>
                <w:b/>
                <w:bCs/>
                <w:sz w:val="22"/>
                <w:szCs w:val="22"/>
              </w:rPr>
              <w:t>Appendix 3</w:t>
            </w:r>
            <w:r w:rsidRPr="004B0F7C">
              <w:rPr>
                <w:rFonts w:cs="Arial"/>
                <w:sz w:val="22"/>
                <w:szCs w:val="22"/>
              </w:rPr>
              <w:t xml:space="preserve"> </w:t>
            </w:r>
            <w:r w:rsidR="00A2646F" w:rsidRPr="004B0F7C">
              <w:rPr>
                <w:rFonts w:cs="Arial"/>
                <w:sz w:val="22"/>
                <w:szCs w:val="22"/>
              </w:rPr>
              <w:t xml:space="preserve">– </w:t>
            </w:r>
            <w:r w:rsidR="00A2646F" w:rsidRPr="00A2646F">
              <w:rPr>
                <w:sz w:val="22"/>
                <w:szCs w:val="22"/>
              </w:rPr>
              <w:t>Kitchen</w:t>
            </w:r>
            <w:r w:rsidR="00A2646F">
              <w:rPr>
                <w:sz w:val="22"/>
                <w:szCs w:val="22"/>
              </w:rPr>
              <w:t xml:space="preserve"> &amp;</w:t>
            </w:r>
            <w:r w:rsidR="00B91462" w:rsidRPr="00A2646F">
              <w:rPr>
                <w:rFonts w:cs="Arial"/>
                <w:sz w:val="22"/>
                <w:szCs w:val="22"/>
              </w:rPr>
              <w:t xml:space="preserve"> Bathroom</w:t>
            </w:r>
            <w:r w:rsidR="00B91462" w:rsidRPr="00B91462">
              <w:rPr>
                <w:rFonts w:cs="Arial"/>
                <w:sz w:val="22"/>
                <w:szCs w:val="22"/>
              </w:rPr>
              <w:t xml:space="preserve"> Specification Pricing 23-25</w:t>
            </w:r>
            <w:r w:rsidR="00B91462" w:rsidRPr="00B91462" w:rsidDel="00B91462">
              <w:rPr>
                <w:rFonts w:cs="Arial"/>
                <w:sz w:val="22"/>
                <w:szCs w:val="22"/>
              </w:rPr>
              <w:t xml:space="preserve"> </w:t>
            </w:r>
            <w:r w:rsidR="00B8605D" w:rsidRPr="004B0F7C">
              <w:rPr>
                <w:rFonts w:cs="Arial"/>
                <w:sz w:val="22"/>
                <w:szCs w:val="22"/>
              </w:rPr>
              <w:t>(Exempt)</w:t>
            </w:r>
          </w:p>
          <w:p w14:paraId="7A698CB8" w14:textId="456795D6" w:rsidR="00030734" w:rsidRPr="004B0F7C" w:rsidRDefault="003747BE" w:rsidP="00030734">
            <w:pPr>
              <w:pStyle w:val="Infotext"/>
              <w:rPr>
                <w:rFonts w:cs="Arial"/>
                <w:sz w:val="22"/>
                <w:szCs w:val="22"/>
              </w:rPr>
            </w:pPr>
            <w:r w:rsidRPr="004B0F7C">
              <w:rPr>
                <w:rFonts w:cs="Arial"/>
                <w:b/>
                <w:bCs/>
                <w:sz w:val="22"/>
                <w:szCs w:val="22"/>
              </w:rPr>
              <w:t>Appendix 4</w:t>
            </w:r>
            <w:r w:rsidRPr="004B0F7C">
              <w:rPr>
                <w:rFonts w:cs="Arial"/>
                <w:sz w:val="22"/>
                <w:szCs w:val="22"/>
              </w:rPr>
              <w:t xml:space="preserve"> </w:t>
            </w:r>
            <w:r w:rsidR="00A2646F" w:rsidRPr="004B0F7C">
              <w:rPr>
                <w:rFonts w:cs="Arial"/>
                <w:sz w:val="22"/>
                <w:szCs w:val="22"/>
              </w:rPr>
              <w:t xml:space="preserve">– </w:t>
            </w:r>
            <w:r w:rsidR="00A2646F">
              <w:rPr>
                <w:rFonts w:cs="Arial"/>
                <w:sz w:val="22"/>
                <w:szCs w:val="22"/>
              </w:rPr>
              <w:t>Draft</w:t>
            </w:r>
            <w:r w:rsidR="00030734">
              <w:rPr>
                <w:rFonts w:cs="Arial"/>
                <w:sz w:val="22"/>
                <w:szCs w:val="22"/>
              </w:rPr>
              <w:t xml:space="preserve"> </w:t>
            </w:r>
            <w:r w:rsidR="00030734" w:rsidRPr="004B0F7C">
              <w:rPr>
                <w:rFonts w:cs="Arial"/>
                <w:sz w:val="22"/>
                <w:szCs w:val="22"/>
              </w:rPr>
              <w:t xml:space="preserve">ITT Windows &amp; Doors </w:t>
            </w:r>
            <w:r w:rsidR="00030734">
              <w:rPr>
                <w:rFonts w:cs="Arial"/>
                <w:sz w:val="22"/>
                <w:szCs w:val="22"/>
              </w:rPr>
              <w:t>Renewal</w:t>
            </w:r>
            <w:r w:rsidR="00030734" w:rsidRPr="004B0F7C">
              <w:rPr>
                <w:rFonts w:cs="Arial"/>
                <w:sz w:val="22"/>
                <w:szCs w:val="22"/>
              </w:rPr>
              <w:t xml:space="preserve"> (Exempt)</w:t>
            </w:r>
          </w:p>
          <w:p w14:paraId="4EEF2E29" w14:textId="6CE333EC" w:rsidR="00030734" w:rsidRPr="004B0F7C" w:rsidRDefault="004B4522" w:rsidP="00A96D7E">
            <w:pPr>
              <w:pStyle w:val="Infotext"/>
              <w:rPr>
                <w:rFonts w:cs="Arial"/>
                <w:sz w:val="22"/>
                <w:szCs w:val="22"/>
              </w:rPr>
            </w:pPr>
            <w:r w:rsidRPr="004B0F7C">
              <w:rPr>
                <w:rFonts w:cs="Arial"/>
                <w:b/>
                <w:bCs/>
                <w:sz w:val="22"/>
                <w:szCs w:val="22"/>
              </w:rPr>
              <w:t xml:space="preserve">Appendix </w:t>
            </w:r>
            <w:r w:rsidR="00A54661" w:rsidRPr="004B0F7C">
              <w:rPr>
                <w:rFonts w:cs="Arial"/>
                <w:b/>
                <w:bCs/>
                <w:sz w:val="22"/>
                <w:szCs w:val="22"/>
              </w:rPr>
              <w:t>5</w:t>
            </w:r>
            <w:r w:rsidR="00A54661" w:rsidRPr="004B0F7C">
              <w:rPr>
                <w:rFonts w:cs="Arial"/>
                <w:sz w:val="22"/>
                <w:szCs w:val="22"/>
              </w:rPr>
              <w:t xml:space="preserve"> </w:t>
            </w:r>
            <w:r w:rsidR="00A2646F" w:rsidRPr="004B0F7C">
              <w:rPr>
                <w:rFonts w:cs="Arial"/>
                <w:sz w:val="22"/>
                <w:szCs w:val="22"/>
              </w:rPr>
              <w:t xml:space="preserve">– </w:t>
            </w:r>
            <w:r w:rsidR="00AF6404" w:rsidRPr="00AF6404">
              <w:rPr>
                <w:rFonts w:cs="Arial"/>
                <w:sz w:val="22"/>
                <w:szCs w:val="22"/>
              </w:rPr>
              <w:t>Articles of Agreement - JCT ICD W</w:t>
            </w:r>
            <w:r w:rsidR="00AF6404">
              <w:rPr>
                <w:rFonts w:cs="Arial"/>
                <w:sz w:val="22"/>
                <w:szCs w:val="22"/>
              </w:rPr>
              <w:t>i</w:t>
            </w:r>
            <w:r w:rsidR="00AF6404" w:rsidRPr="00AF6404">
              <w:rPr>
                <w:rFonts w:cs="Arial"/>
                <w:sz w:val="22"/>
                <w:szCs w:val="22"/>
              </w:rPr>
              <w:t>ndows and Doors</w:t>
            </w:r>
            <w:r w:rsidR="00030734" w:rsidRPr="004B0F7C">
              <w:rPr>
                <w:rFonts w:cs="Arial"/>
                <w:sz w:val="22"/>
                <w:szCs w:val="22"/>
              </w:rPr>
              <w:t xml:space="preserve"> (Exempt)</w:t>
            </w:r>
          </w:p>
          <w:p w14:paraId="5005B85F" w14:textId="6F057AAD" w:rsidR="00030734" w:rsidRPr="004B0F7C" w:rsidRDefault="004B4522" w:rsidP="00A96D7E">
            <w:pPr>
              <w:pStyle w:val="Infotext"/>
              <w:rPr>
                <w:rFonts w:cs="Arial"/>
                <w:sz w:val="22"/>
                <w:szCs w:val="22"/>
              </w:rPr>
            </w:pPr>
            <w:r w:rsidRPr="004B0F7C">
              <w:rPr>
                <w:rFonts w:cs="Arial"/>
                <w:b/>
                <w:bCs/>
                <w:sz w:val="22"/>
                <w:szCs w:val="22"/>
              </w:rPr>
              <w:t>Appendix 6</w:t>
            </w:r>
            <w:r w:rsidRPr="004B0F7C">
              <w:rPr>
                <w:rFonts w:cs="Arial"/>
                <w:sz w:val="22"/>
                <w:szCs w:val="22"/>
              </w:rPr>
              <w:t xml:space="preserve"> </w:t>
            </w:r>
            <w:r w:rsidR="00A2646F" w:rsidRPr="004B0F7C">
              <w:rPr>
                <w:rFonts w:cs="Arial"/>
                <w:sz w:val="22"/>
                <w:szCs w:val="22"/>
              </w:rPr>
              <w:t xml:space="preserve">– </w:t>
            </w:r>
            <w:r w:rsidR="009225C7" w:rsidRPr="009225C7">
              <w:rPr>
                <w:rFonts w:cs="Arial"/>
                <w:sz w:val="22"/>
                <w:szCs w:val="22"/>
              </w:rPr>
              <w:t>Schedule of Works - Windows and doors 2023-25</w:t>
            </w:r>
            <w:r w:rsidR="00030734" w:rsidRPr="004B0F7C">
              <w:rPr>
                <w:rFonts w:cs="Arial"/>
                <w:sz w:val="22"/>
                <w:szCs w:val="22"/>
              </w:rPr>
              <w:t xml:space="preserve"> (Exempt)</w:t>
            </w:r>
          </w:p>
          <w:p w14:paraId="0039118A" w14:textId="23A29B3B" w:rsidR="00CE6213" w:rsidRPr="004B0F7C" w:rsidRDefault="004B4522" w:rsidP="00B8605D">
            <w:pPr>
              <w:pStyle w:val="Infotext"/>
              <w:rPr>
                <w:rFonts w:cs="Arial"/>
                <w:sz w:val="22"/>
                <w:szCs w:val="22"/>
              </w:rPr>
            </w:pPr>
            <w:r w:rsidRPr="004B0F7C">
              <w:rPr>
                <w:rFonts w:cs="Arial"/>
                <w:b/>
                <w:bCs/>
                <w:sz w:val="22"/>
                <w:szCs w:val="22"/>
              </w:rPr>
              <w:t>Appendix</w:t>
            </w:r>
            <w:r w:rsidR="00A54661" w:rsidRPr="004B0F7C">
              <w:rPr>
                <w:rFonts w:cs="Arial"/>
                <w:b/>
                <w:bCs/>
                <w:sz w:val="22"/>
                <w:szCs w:val="22"/>
              </w:rPr>
              <w:t xml:space="preserve"> </w:t>
            </w:r>
            <w:r w:rsidRPr="004B0F7C">
              <w:rPr>
                <w:rFonts w:cs="Arial"/>
                <w:b/>
                <w:bCs/>
                <w:sz w:val="22"/>
                <w:szCs w:val="22"/>
              </w:rPr>
              <w:t>7</w:t>
            </w:r>
            <w:r w:rsidRPr="004B0F7C">
              <w:rPr>
                <w:rFonts w:cs="Arial"/>
                <w:sz w:val="22"/>
                <w:szCs w:val="22"/>
              </w:rPr>
              <w:t xml:space="preserve"> – </w:t>
            </w:r>
            <w:r w:rsidR="004B0F7C">
              <w:rPr>
                <w:rFonts w:cs="Arial"/>
                <w:sz w:val="22"/>
                <w:szCs w:val="22"/>
              </w:rPr>
              <w:t>3-</w:t>
            </w:r>
            <w:r w:rsidR="00A54661" w:rsidRPr="004B0F7C">
              <w:rPr>
                <w:rFonts w:cs="Arial"/>
                <w:sz w:val="22"/>
                <w:szCs w:val="22"/>
              </w:rPr>
              <w:t>Year Capital programme</w:t>
            </w:r>
            <w:r w:rsidR="00B8605D" w:rsidRPr="004B0F7C">
              <w:rPr>
                <w:rFonts w:cs="Arial"/>
                <w:sz w:val="22"/>
                <w:szCs w:val="22"/>
              </w:rPr>
              <w:t xml:space="preserve"> (Exempt)</w:t>
            </w:r>
          </w:p>
          <w:p w14:paraId="6668D730" w14:textId="4143F485" w:rsidR="00027649" w:rsidRPr="00A96D7E" w:rsidRDefault="009A725D" w:rsidP="008267BD">
            <w:pPr>
              <w:pStyle w:val="Infotext"/>
              <w:rPr>
                <w:rFonts w:cs="Arial"/>
                <w:b/>
                <w:bCs/>
                <w:sz w:val="22"/>
                <w:szCs w:val="22"/>
              </w:rPr>
            </w:pPr>
            <w:r w:rsidRPr="004B0F7C">
              <w:rPr>
                <w:rFonts w:cs="Arial"/>
                <w:b/>
                <w:bCs/>
                <w:sz w:val="22"/>
                <w:szCs w:val="22"/>
              </w:rPr>
              <w:t>Equalities Impact Assessment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4CCE3AE">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4CCE3AE">
        <w:trPr>
          <w:tblHeader/>
        </w:trPr>
        <w:tc>
          <w:tcPr>
            <w:tcW w:w="8309" w:type="dxa"/>
          </w:tcPr>
          <w:p w14:paraId="7B79657A" w14:textId="6D92B7C8" w:rsidR="00E9443D" w:rsidRDefault="0088004A" w:rsidP="00E9443D">
            <w:pPr>
              <w:jc w:val="both"/>
              <w:rPr>
                <w:rFonts w:cs="Arial"/>
                <w:szCs w:val="24"/>
              </w:rPr>
            </w:pPr>
            <w:r w:rsidRPr="009307D1">
              <w:t xml:space="preserve">This report </w:t>
            </w:r>
            <w:r>
              <w:t>requests Authority from Cabinet to</w:t>
            </w:r>
            <w:r w:rsidR="004E3EDA">
              <w:t xml:space="preserve"> </w:t>
            </w:r>
            <w:r w:rsidR="00E9443D">
              <w:t>procure 2-year</w:t>
            </w:r>
            <w:r w:rsidR="00B1151B">
              <w:t xml:space="preserve"> </w:t>
            </w:r>
            <w:r w:rsidR="003122E4">
              <w:t>capital programmes</w:t>
            </w:r>
            <w:r w:rsidR="00A25815">
              <w:t>, with the option to extend for 1 further year,</w:t>
            </w:r>
            <w:r w:rsidR="00E9443D">
              <w:t xml:space="preserve"> for Kitchen &amp; Bathroom refurbishments and Windows &amp; Doors renewals across various wards in the borough, as part of the HRA </w:t>
            </w:r>
            <w:r w:rsidR="00B8605D">
              <w:t xml:space="preserve">(Housing Revenue Account) </w:t>
            </w:r>
            <w:r w:rsidR="00E9443D">
              <w:t>Capital Programme</w:t>
            </w:r>
            <w:r w:rsidR="007E6D54">
              <w:rPr>
                <w:rFonts w:cs="Arial"/>
                <w:szCs w:val="24"/>
              </w:rPr>
              <w:t xml:space="preserve"> using the open tender procedure.</w:t>
            </w:r>
          </w:p>
          <w:p w14:paraId="7A9E8842" w14:textId="77777777" w:rsidR="00E9443D" w:rsidRDefault="00E9443D" w:rsidP="00E1264A"/>
          <w:p w14:paraId="44202B8E" w14:textId="60698C28" w:rsidR="00E1264A" w:rsidRDefault="00E1264A" w:rsidP="00E1264A">
            <w:r>
              <w:t xml:space="preserve">This approach </w:t>
            </w:r>
            <w:r w:rsidR="00550A7C">
              <w:t>would</w:t>
            </w:r>
            <w:r w:rsidR="00E1080C">
              <w:t xml:space="preserve"> attract local S</w:t>
            </w:r>
            <w:r w:rsidR="00B8605D">
              <w:t xml:space="preserve">mall and </w:t>
            </w:r>
            <w:r w:rsidR="00E1080C">
              <w:t>M</w:t>
            </w:r>
            <w:r w:rsidR="00B8605D">
              <w:t xml:space="preserve">edium </w:t>
            </w:r>
            <w:r w:rsidR="00E1080C">
              <w:t>E</w:t>
            </w:r>
            <w:r w:rsidR="00B8605D">
              <w:t>nterprises (</w:t>
            </w:r>
            <w:r w:rsidR="00A96D7E">
              <w:t>SMEs) and</w:t>
            </w:r>
            <w:r w:rsidR="00CD28DE">
              <w:t xml:space="preserve"> specialist contractors to tender for either the </w:t>
            </w:r>
            <w:r>
              <w:t xml:space="preserve">Kitchen &amp; Bathroom </w:t>
            </w:r>
            <w:r w:rsidR="00CD28DE">
              <w:t xml:space="preserve">or Windows &amp; Doors </w:t>
            </w:r>
            <w:r w:rsidR="00B23952">
              <w:t xml:space="preserve">programme in two separate </w:t>
            </w:r>
            <w:r w:rsidR="0048157A">
              <w:t xml:space="preserve">2-year </w:t>
            </w:r>
            <w:r w:rsidR="00B23952">
              <w:t>procurements</w:t>
            </w:r>
            <w:r w:rsidR="0048157A">
              <w:t xml:space="preserve">, </w:t>
            </w:r>
            <w:r>
              <w:t>with the option to extend for a year</w:t>
            </w:r>
            <w:r w:rsidRPr="00753E8D">
              <w:t>.</w:t>
            </w:r>
          </w:p>
          <w:p w14:paraId="2133D183" w14:textId="77777777" w:rsidR="00E1264A" w:rsidRDefault="00E1264A" w:rsidP="00E1264A"/>
          <w:p w14:paraId="634706BC" w14:textId="29A15A9A" w:rsidR="000E0049" w:rsidRDefault="00E1264A" w:rsidP="00E1264A">
            <w:r>
              <w:t xml:space="preserve">This procurement route should give SME’s fair access to the opportunity to tender. It is therefore hoped that the approach will </w:t>
            </w:r>
            <w:proofErr w:type="gramStart"/>
            <w:r>
              <w:t>SME</w:t>
            </w:r>
            <w:r w:rsidR="00B8605D">
              <w:t>’</w:t>
            </w:r>
            <w:r>
              <w:t>s</w:t>
            </w:r>
            <w:proofErr w:type="gramEnd"/>
            <w:r>
              <w:t xml:space="preserve"> to participate.  </w:t>
            </w:r>
          </w:p>
          <w:p w14:paraId="1EC1058E" w14:textId="77777777" w:rsidR="000E0049" w:rsidRDefault="000E0049" w:rsidP="00E1264A"/>
          <w:p w14:paraId="5BF949C8" w14:textId="3FDF8945" w:rsidR="00E1264A" w:rsidRPr="00E622DD" w:rsidRDefault="00E1264A" w:rsidP="00E1264A">
            <w:r>
              <w:t xml:space="preserve">The London Borough of Harrow </w:t>
            </w:r>
            <w:r w:rsidRPr="005F3088">
              <w:t>recognise</w:t>
            </w:r>
            <w:r>
              <w:t xml:space="preserve"> that it is vital that </w:t>
            </w:r>
            <w:proofErr w:type="gramStart"/>
            <w:r>
              <w:t>SME</w:t>
            </w:r>
            <w:r w:rsidR="00B8605D">
              <w:t>’</w:t>
            </w:r>
            <w:r>
              <w:t>s</w:t>
            </w:r>
            <w:proofErr w:type="gramEnd"/>
            <w:r>
              <w:t xml:space="preserve"> are </w:t>
            </w:r>
            <w:r w:rsidR="000E0049">
              <w:t xml:space="preserve">given the opportunity to be </w:t>
            </w:r>
            <w:r w:rsidRPr="005F3088">
              <w:t>successful in winning public sector construction contracts</w:t>
            </w:r>
            <w:r>
              <w:t xml:space="preserve"> </w:t>
            </w:r>
            <w:r w:rsidRPr="005F3088">
              <w:t>as they employ local people including apprenticeship</w:t>
            </w:r>
            <w:r>
              <w:t xml:space="preserve"> </w:t>
            </w:r>
            <w:r w:rsidRPr="005F3088">
              <w:t>schemes, and they also typically spend money with local</w:t>
            </w:r>
            <w:r>
              <w:t xml:space="preserve"> </w:t>
            </w:r>
            <w:r w:rsidRPr="005F3088">
              <w:t>suppliers</w:t>
            </w:r>
            <w:r w:rsidR="000E0049">
              <w:t xml:space="preserve"> and other businesses in the local economy</w:t>
            </w:r>
            <w:r>
              <w:t>.</w:t>
            </w:r>
          </w:p>
          <w:p w14:paraId="05906A88" w14:textId="77777777" w:rsidR="00E1264A" w:rsidRPr="00817330" w:rsidRDefault="00E1264A" w:rsidP="00E1264A">
            <w:pPr>
              <w:pStyle w:val="Heading2"/>
              <w:rPr>
                <w:sz w:val="20"/>
                <w:szCs w:val="20"/>
              </w:rPr>
            </w:pPr>
          </w:p>
          <w:p w14:paraId="05A99561" w14:textId="77777777" w:rsidR="0088004A" w:rsidRPr="00A77C4B" w:rsidRDefault="0088004A" w:rsidP="0088004A">
            <w:r>
              <w:t>We are also seeking delegated authority to award contracts following the outcome of the procurement process.</w:t>
            </w:r>
          </w:p>
          <w:p w14:paraId="183783CC" w14:textId="1B68FD54" w:rsidR="04CCE3AE" w:rsidRDefault="04CCE3AE" w:rsidP="04CCE3AE">
            <w:pPr>
              <w:rPr>
                <w:b/>
                <w:bCs/>
              </w:rPr>
            </w:pPr>
          </w:p>
          <w:p w14:paraId="1425917D" w14:textId="77777777" w:rsidR="0088004A" w:rsidRPr="008267BD" w:rsidRDefault="0088004A" w:rsidP="0088004A">
            <w:pPr>
              <w:rPr>
                <w:b/>
                <w:bCs/>
                <w:sz w:val="28"/>
                <w:szCs w:val="22"/>
              </w:rPr>
            </w:pPr>
            <w:r w:rsidRPr="008267BD">
              <w:rPr>
                <w:b/>
                <w:bCs/>
                <w:sz w:val="28"/>
                <w:szCs w:val="22"/>
              </w:rPr>
              <w:t xml:space="preserve">Recommendations:  </w:t>
            </w:r>
          </w:p>
          <w:p w14:paraId="004B2AE0" w14:textId="77777777" w:rsidR="0088004A" w:rsidRDefault="0088004A" w:rsidP="0088004A">
            <w:r>
              <w:t xml:space="preserve">Cabinet is requested to: </w:t>
            </w:r>
          </w:p>
          <w:p w14:paraId="5EB88B45" w14:textId="77777777" w:rsidR="0088004A" w:rsidRDefault="0088004A" w:rsidP="0088004A"/>
          <w:p w14:paraId="7DED06EF" w14:textId="77777777" w:rsidR="00FD6BC6" w:rsidRDefault="00C7444D" w:rsidP="00FD6BC6">
            <w:pPr>
              <w:pStyle w:val="ListParagraph"/>
              <w:numPr>
                <w:ilvl w:val="0"/>
                <w:numId w:val="51"/>
              </w:numPr>
            </w:pPr>
            <w:r>
              <w:t xml:space="preserve">Grant approval for officers to undertake procurement </w:t>
            </w:r>
            <w:r w:rsidRPr="00753E8D">
              <w:t>process</w:t>
            </w:r>
            <w:r w:rsidR="00B165B9">
              <w:t>es</w:t>
            </w:r>
            <w:r w:rsidRPr="00753E8D">
              <w:t xml:space="preserve"> for </w:t>
            </w:r>
            <w:r>
              <w:t>the selection of two</w:t>
            </w:r>
            <w:r w:rsidRPr="00753E8D">
              <w:t xml:space="preserve"> contractors to deliver Kitchen</w:t>
            </w:r>
            <w:r>
              <w:t>s</w:t>
            </w:r>
            <w:r w:rsidRPr="00753E8D">
              <w:t xml:space="preserve"> &amp; Bathroom</w:t>
            </w:r>
            <w:r>
              <w:t>s</w:t>
            </w:r>
            <w:r w:rsidRPr="00753E8D">
              <w:t xml:space="preserve"> refurbishments </w:t>
            </w:r>
            <w:r w:rsidR="00914C63">
              <w:t xml:space="preserve">and Windows &amp; Doors renewals </w:t>
            </w:r>
            <w:r>
              <w:t xml:space="preserve">for </w:t>
            </w:r>
            <w:r w:rsidR="00FC4027">
              <w:t>2</w:t>
            </w:r>
            <w:r>
              <w:t xml:space="preserve"> year</w:t>
            </w:r>
            <w:r w:rsidR="00FC4027">
              <w:t>s</w:t>
            </w:r>
            <w:r w:rsidR="002D0449">
              <w:t xml:space="preserve"> o</w:t>
            </w:r>
            <w:r w:rsidRPr="00753E8D">
              <w:t>n th</w:t>
            </w:r>
            <w:r>
              <w:t>e 20</w:t>
            </w:r>
            <w:r w:rsidR="00E86545">
              <w:t>23/24</w:t>
            </w:r>
            <w:r w:rsidR="002D0449">
              <w:t xml:space="preserve"> &amp; 2024/</w:t>
            </w:r>
            <w:r w:rsidR="00F356B0">
              <w:t>25</w:t>
            </w:r>
            <w:r>
              <w:t xml:space="preserve"> Housing Capital Programme</w:t>
            </w:r>
            <w:r w:rsidR="00F356B0">
              <w:t>s</w:t>
            </w:r>
            <w:r>
              <w:t xml:space="preserve"> with the option to extend for a further year for both Lots.</w:t>
            </w:r>
            <w:r w:rsidR="0093409B" w:rsidRPr="00066EA9">
              <w:rPr>
                <w:rFonts w:cs="Arial"/>
              </w:rPr>
              <w:t xml:space="preserve"> </w:t>
            </w:r>
            <w:r w:rsidR="00FD6BC6">
              <w:rPr>
                <w:rFonts w:cs="Arial"/>
              </w:rPr>
              <w:t xml:space="preserve">The combined value of the </w:t>
            </w:r>
            <w:r w:rsidR="00FD6BC6" w:rsidRPr="00753E8D">
              <w:t>Kitchen</w:t>
            </w:r>
            <w:r w:rsidR="00FD6BC6">
              <w:t>s</w:t>
            </w:r>
            <w:r w:rsidR="00FD6BC6" w:rsidRPr="00753E8D">
              <w:t xml:space="preserve"> &amp; Bathroom</w:t>
            </w:r>
            <w:r w:rsidR="00FD6BC6">
              <w:t>s</w:t>
            </w:r>
            <w:r w:rsidR="00FD6BC6" w:rsidRPr="00753E8D">
              <w:t xml:space="preserve"> </w:t>
            </w:r>
            <w:r w:rsidR="00FD6BC6">
              <w:t xml:space="preserve">Programmes is </w:t>
            </w:r>
            <w:r w:rsidR="00FD6BC6" w:rsidRPr="00C77234">
              <w:t>£</w:t>
            </w:r>
            <w:r w:rsidR="00FD6BC6">
              <w:t>2.613M</w:t>
            </w:r>
            <w:r w:rsidR="00FD6BC6">
              <w:rPr>
                <w:b/>
                <w:bCs/>
              </w:rPr>
              <w:t xml:space="preserve"> </w:t>
            </w:r>
            <w:r w:rsidR="00FD6BC6">
              <w:t xml:space="preserve">and Windows &amp; Doors Programmes is </w:t>
            </w:r>
            <w:r w:rsidR="00FD6BC6" w:rsidRPr="00C77234">
              <w:t>£</w:t>
            </w:r>
            <w:r w:rsidR="00FD6BC6" w:rsidRPr="00CF173E">
              <w:t>1,848M</w:t>
            </w:r>
            <w:r w:rsidR="00FD6BC6">
              <w:t xml:space="preserve"> </w:t>
            </w:r>
            <w:r w:rsidR="00FD6BC6">
              <w:rPr>
                <w:rFonts w:cs="Arial"/>
              </w:rPr>
              <w:t>funded from HRA capital resources in financial years 23/24 and 24/25.</w:t>
            </w:r>
          </w:p>
          <w:p w14:paraId="2F5BECBA" w14:textId="77777777" w:rsidR="001462F8" w:rsidRDefault="001462F8" w:rsidP="003122E4">
            <w:pPr>
              <w:pStyle w:val="ListParagraph"/>
            </w:pPr>
          </w:p>
          <w:p w14:paraId="08AB0266" w14:textId="1E9D9972" w:rsidR="000C5D1F" w:rsidRPr="006C2548" w:rsidRDefault="000C5D1F" w:rsidP="000C5D1F">
            <w:pPr>
              <w:numPr>
                <w:ilvl w:val="0"/>
                <w:numId w:val="51"/>
              </w:numPr>
              <w:jc w:val="both"/>
            </w:pPr>
            <w:r>
              <w:rPr>
                <w:rFonts w:cs="Arial"/>
              </w:rPr>
              <w:t>Approve the</w:t>
            </w:r>
            <w:r>
              <w:t xml:space="preserve"> commencement of</w:t>
            </w:r>
            <w:r>
              <w:rPr>
                <w:rFonts w:cs="Arial"/>
              </w:rPr>
              <w:t xml:space="preserve"> procurement processes to identify suitable providers to deliver both programmes</w:t>
            </w:r>
            <w:r w:rsidR="00233C09">
              <w:rPr>
                <w:rFonts w:cs="Arial"/>
              </w:rPr>
              <w:t xml:space="preserve"> via an open tender process.</w:t>
            </w:r>
          </w:p>
          <w:p w14:paraId="163AB2F8" w14:textId="4315D20C" w:rsidR="000C5D1F" w:rsidRDefault="000C5D1F" w:rsidP="000C5D1F"/>
          <w:p w14:paraId="3727E410" w14:textId="7EAF2912" w:rsidR="00233C09" w:rsidRDefault="00233C09" w:rsidP="00233C09">
            <w:pPr>
              <w:pStyle w:val="ListParagraph"/>
              <w:numPr>
                <w:ilvl w:val="0"/>
                <w:numId w:val="51"/>
              </w:numPr>
            </w:pPr>
            <w:r>
              <w:t xml:space="preserve">Delegate authority to the Corporate Director for Place, </w:t>
            </w:r>
            <w:r w:rsidR="00B8605D">
              <w:t xml:space="preserve">following </w:t>
            </w:r>
            <w:r>
              <w:t xml:space="preserve">consultation with the Portfolio Holder for </w:t>
            </w:r>
            <w:r w:rsidR="00B8605D">
              <w:t>Housing</w:t>
            </w:r>
            <w:r>
              <w:t>, to make any changes required to the tender documents following approval.</w:t>
            </w:r>
          </w:p>
          <w:p w14:paraId="52C261D8" w14:textId="77777777" w:rsidR="00233C09" w:rsidRDefault="00233C09" w:rsidP="00817330">
            <w:pPr>
              <w:pStyle w:val="ListParagraph"/>
            </w:pPr>
          </w:p>
          <w:p w14:paraId="7ABF24BE" w14:textId="082956C6" w:rsidR="001D04A0" w:rsidRDefault="00233C09" w:rsidP="001D04A0">
            <w:pPr>
              <w:pStyle w:val="ListParagraph"/>
              <w:numPr>
                <w:ilvl w:val="0"/>
                <w:numId w:val="51"/>
              </w:numPr>
            </w:pPr>
            <w:r>
              <w:t>A</w:t>
            </w:r>
            <w:r w:rsidRPr="00233C09">
              <w:t>pprove the tender documents</w:t>
            </w:r>
          </w:p>
          <w:p w14:paraId="297DF48B" w14:textId="77777777" w:rsidR="001D04A0" w:rsidRDefault="001D04A0" w:rsidP="00B473BC">
            <w:pPr>
              <w:pStyle w:val="ListParagraph"/>
            </w:pPr>
          </w:p>
          <w:p w14:paraId="313BC81E" w14:textId="388A585D" w:rsidR="00333FAA" w:rsidRDefault="00333FAA" w:rsidP="000E0049">
            <w:pPr>
              <w:pStyle w:val="ListParagraph"/>
            </w:pPr>
          </w:p>
        </w:tc>
      </w:tr>
      <w:tr w:rsidR="1B42CD03" w14:paraId="3C267034" w14:textId="77777777" w:rsidTr="04CCE3AE">
        <w:trPr>
          <w:trHeight w:val="300"/>
          <w:tblHeader/>
        </w:trPr>
        <w:tc>
          <w:tcPr>
            <w:tcW w:w="8309" w:type="dxa"/>
          </w:tcPr>
          <w:p w14:paraId="68B5590F" w14:textId="77777777" w:rsidR="000E0049" w:rsidRPr="000E0049" w:rsidRDefault="000E0049" w:rsidP="000E0049">
            <w:pPr>
              <w:pStyle w:val="ListParagraph"/>
              <w:rPr>
                <w:b/>
                <w:bCs/>
              </w:rPr>
            </w:pPr>
          </w:p>
          <w:p w14:paraId="0D762FA1" w14:textId="20C78550" w:rsidR="00817330" w:rsidRPr="000E0049" w:rsidRDefault="000E0049" w:rsidP="000E0049">
            <w:pPr>
              <w:pStyle w:val="ListParagraph"/>
              <w:numPr>
                <w:ilvl w:val="0"/>
                <w:numId w:val="51"/>
              </w:numPr>
              <w:rPr>
                <w:b/>
                <w:bCs/>
              </w:rPr>
            </w:pPr>
            <w:r>
              <w:t xml:space="preserve">Delegate authority to award and appoint contractors to both procurements and arrange the execution of contracts with the successful tenderers to the Corporate Director of Place, </w:t>
            </w:r>
            <w:r w:rsidR="00B8605D">
              <w:t xml:space="preserve">following </w:t>
            </w:r>
            <w:r>
              <w:t>consultation with the Portfolio Holders for Housing</w:t>
            </w:r>
            <w:r w:rsidRPr="000E0049">
              <w:rPr>
                <w:szCs w:val="24"/>
              </w:rPr>
              <w:t xml:space="preserve"> and Portfolio Holder for Finance and Human Resources and the Director of Finance.</w:t>
            </w:r>
          </w:p>
          <w:p w14:paraId="114A0331" w14:textId="77777777" w:rsidR="000E0049" w:rsidRPr="000E0049" w:rsidRDefault="000E0049" w:rsidP="000E0049">
            <w:pPr>
              <w:pStyle w:val="ListParagraph"/>
              <w:rPr>
                <w:b/>
                <w:bCs/>
              </w:rPr>
            </w:pPr>
          </w:p>
          <w:p w14:paraId="5585D6E7" w14:textId="21520596" w:rsidR="1B42CD03" w:rsidRDefault="00817330" w:rsidP="1B42CD03">
            <w:r w:rsidRPr="00414DF7">
              <w:rPr>
                <w:b/>
                <w:bCs/>
              </w:rPr>
              <w:t xml:space="preserve">Reason: </w:t>
            </w:r>
            <w:r>
              <w:rPr>
                <w:b/>
                <w:bCs/>
              </w:rPr>
              <w:t xml:space="preserve">(For Recommendations) </w:t>
            </w:r>
            <w:r w:rsidRPr="00977DF7">
              <w:t xml:space="preserve">Cabinet authorisation </w:t>
            </w:r>
            <w:r w:rsidR="00B8605D">
              <w:t xml:space="preserve">is required </w:t>
            </w:r>
            <w:r w:rsidRPr="00977DF7">
              <w:t>to co</w:t>
            </w:r>
            <w:r>
              <w:t>m</w:t>
            </w:r>
            <w:r w:rsidRPr="00977DF7">
              <w:t>p</w:t>
            </w:r>
            <w:r>
              <w:t>l</w:t>
            </w:r>
            <w:r w:rsidRPr="00977DF7">
              <w:t xml:space="preserve">y with the Council’s </w:t>
            </w:r>
            <w:r>
              <w:t>C</w:t>
            </w:r>
            <w:r w:rsidRPr="00977DF7">
              <w:t>ontract Procedure Rules and Financial Regulations, due to the</w:t>
            </w:r>
            <w:r>
              <w:t xml:space="preserve"> aggregate</w:t>
            </w:r>
            <w:r w:rsidRPr="00977DF7">
              <w:t xml:space="preserve"> estimated value of the </w:t>
            </w:r>
            <w:r>
              <w:t>p</w:t>
            </w:r>
            <w:r w:rsidRPr="00977DF7">
              <w:t>otential contracts</w:t>
            </w:r>
            <w:r>
              <w:t>.</w:t>
            </w:r>
          </w:p>
          <w:p w14:paraId="0739531C" w14:textId="327CCD13" w:rsidR="00817330" w:rsidRDefault="00817330" w:rsidP="1B42CD03"/>
        </w:tc>
      </w:tr>
    </w:tbl>
    <w:p w14:paraId="6666F86C" w14:textId="77777777" w:rsidR="0088004A" w:rsidRDefault="0088004A" w:rsidP="0088004A">
      <w:pPr>
        <w:pStyle w:val="Heading2"/>
        <w:spacing w:before="480"/>
      </w:pPr>
      <w:r>
        <w:t>Section 2 – Report</w:t>
      </w:r>
    </w:p>
    <w:p w14:paraId="30787DCC" w14:textId="285E4329" w:rsidR="0088004A" w:rsidRDefault="00B1507A" w:rsidP="00B1507A">
      <w:pPr>
        <w:pStyle w:val="Heading3"/>
        <w:spacing w:before="240"/>
        <w:ind w:left="0" w:firstLine="0"/>
      </w:pPr>
      <w:r>
        <w:t>1.0</w:t>
      </w:r>
      <w:r>
        <w:tab/>
      </w:r>
      <w:r w:rsidR="7E269CA2">
        <w:t>Introduct</w:t>
      </w:r>
      <w:r w:rsidR="00036FB4">
        <w:t>ion</w:t>
      </w:r>
    </w:p>
    <w:p w14:paraId="3F05EE0E" w14:textId="77777777" w:rsidR="00C475C2" w:rsidRDefault="00C475C2" w:rsidP="00C475C2">
      <w:pPr>
        <w:ind w:left="720" w:hanging="720"/>
      </w:pPr>
    </w:p>
    <w:p w14:paraId="15923C12" w14:textId="4C32D4AA" w:rsidR="009B171B" w:rsidRDefault="009B171B" w:rsidP="00F734EE">
      <w:pPr>
        <w:pStyle w:val="ListParagraph"/>
        <w:numPr>
          <w:ilvl w:val="1"/>
          <w:numId w:val="55"/>
        </w:numPr>
      </w:pPr>
      <w:r w:rsidRPr="00682C46">
        <w:t xml:space="preserve">The </w:t>
      </w:r>
      <w:r w:rsidR="00A54661">
        <w:t xml:space="preserve">Council are about to embark on a </w:t>
      </w:r>
      <w:r w:rsidR="00516C9B">
        <w:t>3</w:t>
      </w:r>
      <w:r w:rsidR="00A54661">
        <w:t>-</w:t>
      </w:r>
      <w:r w:rsidR="00C77D77">
        <w:t>year</w:t>
      </w:r>
      <w:r w:rsidR="00F0042F">
        <w:t xml:space="preserve"> </w:t>
      </w:r>
      <w:r w:rsidR="00A54661">
        <w:t>Housing Capital Programme</w:t>
      </w:r>
      <w:r>
        <w:t>.</w:t>
      </w:r>
      <w:r w:rsidR="00A54661">
        <w:t xml:space="preserve"> As such the Council are looking to procure a two-year programme for Kitchen &amp; Bathroom refurbishments and Windows &amp; Doors renewals with an option to extend for a further year based on performance.</w:t>
      </w:r>
    </w:p>
    <w:p w14:paraId="68D95F43" w14:textId="77777777" w:rsidR="00F734EE" w:rsidRDefault="00F734EE" w:rsidP="004017E7">
      <w:pPr>
        <w:pStyle w:val="ListParagraph"/>
      </w:pPr>
    </w:p>
    <w:p w14:paraId="6622F2AD" w14:textId="5619EE8D" w:rsidR="00F734EE" w:rsidRDefault="00F734EE" w:rsidP="00F734EE">
      <w:pPr>
        <w:pStyle w:val="ListParagraph"/>
        <w:numPr>
          <w:ilvl w:val="1"/>
          <w:numId w:val="55"/>
        </w:numPr>
      </w:pPr>
      <w:r w:rsidRPr="00682C46">
        <w:t>Cabinet approval is required to begin the process of procuring contractors</w:t>
      </w:r>
      <w:r>
        <w:t xml:space="preserve"> for all projects with an estimated value </w:t>
      </w:r>
      <w:proofErr w:type="gramStart"/>
      <w:r>
        <w:t>in excess of</w:t>
      </w:r>
      <w:proofErr w:type="gramEnd"/>
      <w:r>
        <w:t xml:space="preserve"> £500k.</w:t>
      </w:r>
    </w:p>
    <w:p w14:paraId="698D5F70" w14:textId="24BD3913" w:rsidR="0088004A" w:rsidRDefault="005E5BE0" w:rsidP="00F0042F">
      <w:pPr>
        <w:pStyle w:val="Heading2"/>
        <w:spacing w:before="240"/>
        <w:ind w:left="720" w:hanging="720"/>
        <w:rPr>
          <w:rFonts w:ascii="Arial" w:hAnsi="Arial"/>
          <w:b w:val="0"/>
          <w:bCs w:val="0"/>
          <w:sz w:val="24"/>
          <w:szCs w:val="24"/>
        </w:rPr>
      </w:pPr>
      <w:r>
        <w:rPr>
          <w:rFonts w:ascii="Arial" w:hAnsi="Arial"/>
          <w:b w:val="0"/>
          <w:bCs w:val="0"/>
          <w:sz w:val="24"/>
          <w:szCs w:val="24"/>
        </w:rPr>
        <w:t>1.</w:t>
      </w:r>
      <w:r w:rsidR="00F734EE">
        <w:rPr>
          <w:rFonts w:ascii="Arial" w:hAnsi="Arial"/>
          <w:b w:val="0"/>
          <w:bCs w:val="0"/>
          <w:sz w:val="24"/>
          <w:szCs w:val="24"/>
        </w:rPr>
        <w:t>3</w:t>
      </w:r>
      <w:r>
        <w:rPr>
          <w:rFonts w:ascii="Arial" w:hAnsi="Arial"/>
          <w:b w:val="0"/>
          <w:bCs w:val="0"/>
          <w:sz w:val="24"/>
          <w:szCs w:val="24"/>
        </w:rPr>
        <w:tab/>
      </w:r>
      <w:r w:rsidR="00A54661">
        <w:rPr>
          <w:rFonts w:ascii="Arial" w:hAnsi="Arial"/>
          <w:b w:val="0"/>
          <w:bCs w:val="0"/>
          <w:sz w:val="24"/>
          <w:szCs w:val="24"/>
        </w:rPr>
        <w:t xml:space="preserve">These programmes will run as 2 separate procurements as they are both individually specialist contracts. </w:t>
      </w:r>
      <w:r w:rsidR="00A073B6">
        <w:rPr>
          <w:rFonts w:ascii="Arial" w:hAnsi="Arial"/>
          <w:b w:val="0"/>
          <w:bCs w:val="0"/>
          <w:sz w:val="24"/>
          <w:szCs w:val="24"/>
        </w:rPr>
        <w:t>It is intended to procure through the open market to achieve additional value for money using the London Tenders Portal.</w:t>
      </w:r>
    </w:p>
    <w:p w14:paraId="7DF383C6" w14:textId="77777777" w:rsidR="00A54661" w:rsidRPr="00A54661" w:rsidRDefault="00A54661" w:rsidP="00F0042F"/>
    <w:p w14:paraId="2105CE34" w14:textId="4B0F9C31" w:rsidR="00A54661" w:rsidRPr="00A073B6" w:rsidRDefault="00C475C2" w:rsidP="009D2FFC">
      <w:pPr>
        <w:ind w:left="720" w:hanging="720"/>
        <w:jc w:val="both"/>
        <w:rPr>
          <w:szCs w:val="24"/>
        </w:rPr>
      </w:pPr>
      <w:r>
        <w:rPr>
          <w:szCs w:val="24"/>
        </w:rPr>
        <w:t>1.</w:t>
      </w:r>
      <w:r w:rsidR="00F734EE">
        <w:rPr>
          <w:szCs w:val="24"/>
        </w:rPr>
        <w:t>4</w:t>
      </w:r>
      <w:r w:rsidR="008C1DF8">
        <w:rPr>
          <w:szCs w:val="24"/>
        </w:rPr>
        <w:tab/>
      </w:r>
      <w:r w:rsidR="00A073B6" w:rsidRPr="008C1DF8">
        <w:rPr>
          <w:szCs w:val="24"/>
        </w:rPr>
        <w:t>The aim of the Kitchens &amp; Bathrooms Refurbishments</w:t>
      </w:r>
      <w:r w:rsidR="008C1DF8">
        <w:rPr>
          <w:szCs w:val="24"/>
        </w:rPr>
        <w:t xml:space="preserve"> </w:t>
      </w:r>
      <w:r w:rsidR="00801DC4">
        <w:rPr>
          <w:szCs w:val="24"/>
        </w:rPr>
        <w:t xml:space="preserve">is to bring homes with kitchens or bathrooms that are over 20 or 25 years old respectively up to and surpassing </w:t>
      </w:r>
      <w:r w:rsidR="009D2FFC">
        <w:rPr>
          <w:szCs w:val="24"/>
        </w:rPr>
        <w:t xml:space="preserve">the </w:t>
      </w:r>
      <w:r w:rsidR="00801DC4">
        <w:rPr>
          <w:szCs w:val="24"/>
        </w:rPr>
        <w:t xml:space="preserve">Decent Homes Standard </w:t>
      </w:r>
      <w:r w:rsidR="009D2FFC">
        <w:rPr>
          <w:szCs w:val="24"/>
        </w:rPr>
        <w:t xml:space="preserve">which us currently </w:t>
      </w:r>
      <w:r w:rsidR="00801DC4">
        <w:rPr>
          <w:szCs w:val="24"/>
        </w:rPr>
        <w:t>2</w:t>
      </w:r>
      <w:r w:rsidR="009D2FFC">
        <w:rPr>
          <w:szCs w:val="24"/>
        </w:rPr>
        <w:t>5 &amp; 30</w:t>
      </w:r>
      <w:r w:rsidR="00CC4AD4">
        <w:rPr>
          <w:szCs w:val="24"/>
        </w:rPr>
        <w:t>-</w:t>
      </w:r>
      <w:r w:rsidR="009D2FFC">
        <w:rPr>
          <w:szCs w:val="24"/>
        </w:rPr>
        <w:t>year</w:t>
      </w:r>
      <w:r w:rsidR="002820D4">
        <w:rPr>
          <w:szCs w:val="24"/>
        </w:rPr>
        <w:t xml:space="preserve"> cycles respectively</w:t>
      </w:r>
      <w:r w:rsidR="00F13CEA">
        <w:rPr>
          <w:szCs w:val="24"/>
        </w:rPr>
        <w:t>.</w:t>
      </w:r>
    </w:p>
    <w:p w14:paraId="2EE9912D" w14:textId="77777777" w:rsidR="00A073B6" w:rsidRPr="00A073B6" w:rsidRDefault="00A073B6" w:rsidP="00F0042F">
      <w:pPr>
        <w:pStyle w:val="ListParagraph"/>
        <w:ind w:left="1440"/>
        <w:jc w:val="both"/>
        <w:rPr>
          <w:rFonts w:cs="Arial"/>
        </w:rPr>
      </w:pPr>
    </w:p>
    <w:p w14:paraId="324C8C71" w14:textId="689E463E" w:rsidR="00A073B6" w:rsidRDefault="00484F6F" w:rsidP="00A073B6">
      <w:pPr>
        <w:ind w:left="720" w:hanging="720"/>
        <w:jc w:val="both"/>
        <w:rPr>
          <w:rFonts w:cs="Arial"/>
        </w:rPr>
      </w:pPr>
      <w:r>
        <w:rPr>
          <w:szCs w:val="24"/>
        </w:rPr>
        <w:t>1.</w:t>
      </w:r>
      <w:r w:rsidR="00F734EE">
        <w:rPr>
          <w:szCs w:val="24"/>
        </w:rPr>
        <w:t>5</w:t>
      </w:r>
      <w:r>
        <w:rPr>
          <w:szCs w:val="24"/>
        </w:rPr>
        <w:t xml:space="preserve"> </w:t>
      </w:r>
      <w:r w:rsidR="003B4B49">
        <w:rPr>
          <w:szCs w:val="24"/>
        </w:rPr>
        <w:tab/>
      </w:r>
      <w:r w:rsidR="00A073B6">
        <w:rPr>
          <w:rFonts w:cs="Arial"/>
        </w:rPr>
        <w:t xml:space="preserve">The aim of the Windows and Doors project is to deliver renewals </w:t>
      </w:r>
      <w:r w:rsidR="00F0042F">
        <w:rPr>
          <w:rFonts w:cs="Arial"/>
        </w:rPr>
        <w:t xml:space="preserve">to </w:t>
      </w:r>
      <w:r w:rsidR="00A073B6">
        <w:rPr>
          <w:rFonts w:cs="Arial"/>
        </w:rPr>
        <w:t>various addresses across the London Borough of Harrow. The result of this will be better energy efficiency and lower fuel bills for our residents along with better fire security. The addresses form a programme of works which has come from the Data &amp; Planning team following stock condition analysis.</w:t>
      </w:r>
    </w:p>
    <w:p w14:paraId="300B0E4C" w14:textId="77777777" w:rsidR="00F734EE" w:rsidRDefault="00F734EE" w:rsidP="00A073B6">
      <w:pPr>
        <w:ind w:left="720" w:hanging="720"/>
        <w:jc w:val="both"/>
        <w:rPr>
          <w:rFonts w:cs="Arial"/>
        </w:rPr>
      </w:pPr>
    </w:p>
    <w:p w14:paraId="7219D833" w14:textId="62AD15D2" w:rsidR="0088004A" w:rsidRDefault="004B6E83" w:rsidP="00B473BC">
      <w:pPr>
        <w:ind w:left="720" w:hanging="720"/>
      </w:pPr>
      <w:r>
        <w:t>1.</w:t>
      </w:r>
      <w:r w:rsidR="00756140">
        <w:t>6</w:t>
      </w:r>
      <w:r>
        <w:tab/>
      </w:r>
      <w:r w:rsidR="00A073B6">
        <w:t xml:space="preserve">As the </w:t>
      </w:r>
      <w:r w:rsidR="00B8605D">
        <w:t>C</w:t>
      </w:r>
      <w:r w:rsidR="00A073B6">
        <w:t xml:space="preserve">ouncil has prioritised Compliance </w:t>
      </w:r>
      <w:r w:rsidR="007A0650">
        <w:t>works,</w:t>
      </w:r>
      <w:r w:rsidR="00A073B6">
        <w:t xml:space="preserve"> we are now in a downcycle of Decent Homes investment </w:t>
      </w:r>
      <w:r w:rsidR="002820D4">
        <w:t>for</w:t>
      </w:r>
      <w:r w:rsidR="00A073B6">
        <w:t xml:space="preserve"> key elements of disrepair. </w:t>
      </w:r>
      <w:proofErr w:type="gramStart"/>
      <w:r w:rsidR="00A073B6">
        <w:t>In order to</w:t>
      </w:r>
      <w:proofErr w:type="gramEnd"/>
      <w:r w:rsidR="00A073B6">
        <w:t xml:space="preserve"> rectify this, much more investment is required for Decent Homes</w:t>
      </w:r>
      <w:r w:rsidR="7E269CA2">
        <w:t xml:space="preserve"> </w:t>
      </w:r>
      <w:r w:rsidR="00A073B6">
        <w:t xml:space="preserve">elements including kitchens, bathrooms, windows &amp; doors. </w:t>
      </w:r>
    </w:p>
    <w:p w14:paraId="70BB40CA" w14:textId="77777777" w:rsidR="00817330" w:rsidRPr="00817330" w:rsidRDefault="00817330" w:rsidP="00817330"/>
    <w:p w14:paraId="1F5DA056" w14:textId="6CCFFE68" w:rsidR="008817C2" w:rsidRDefault="3951D2A0" w:rsidP="00640845">
      <w:pPr>
        <w:pStyle w:val="Heading2"/>
        <w:spacing w:before="240"/>
        <w:jc w:val="both"/>
        <w:rPr>
          <w:rFonts w:ascii="Arial" w:hAnsi="Arial"/>
          <w:sz w:val="28"/>
          <w:szCs w:val="28"/>
        </w:rPr>
      </w:pPr>
      <w:r w:rsidRPr="1B42CD03">
        <w:rPr>
          <w:rFonts w:ascii="Arial" w:hAnsi="Arial"/>
          <w:sz w:val="28"/>
          <w:szCs w:val="28"/>
        </w:rPr>
        <w:lastRenderedPageBreak/>
        <w:t>2.</w:t>
      </w:r>
      <w:r w:rsidR="00E06FE6">
        <w:rPr>
          <w:rFonts w:ascii="Arial" w:hAnsi="Arial"/>
          <w:sz w:val="28"/>
          <w:szCs w:val="28"/>
        </w:rPr>
        <w:t>0</w:t>
      </w:r>
      <w:r w:rsidRPr="1B42CD03">
        <w:rPr>
          <w:rFonts w:ascii="Arial" w:hAnsi="Arial"/>
          <w:sz w:val="28"/>
          <w:szCs w:val="28"/>
        </w:rPr>
        <w:t xml:space="preserve"> </w:t>
      </w:r>
      <w:r w:rsidR="00E06FE6">
        <w:rPr>
          <w:rFonts w:ascii="Arial" w:hAnsi="Arial"/>
          <w:sz w:val="28"/>
          <w:szCs w:val="28"/>
        </w:rPr>
        <w:tab/>
      </w:r>
      <w:r w:rsidRPr="1B42CD03">
        <w:rPr>
          <w:rFonts w:ascii="Arial" w:hAnsi="Arial"/>
          <w:sz w:val="28"/>
          <w:szCs w:val="28"/>
        </w:rPr>
        <w:t>Options Considered</w:t>
      </w:r>
    </w:p>
    <w:p w14:paraId="0B96ADA4" w14:textId="77777777" w:rsidR="008817C2" w:rsidRPr="00323F37" w:rsidRDefault="008817C2" w:rsidP="00640845">
      <w:pPr>
        <w:jc w:val="both"/>
      </w:pPr>
    </w:p>
    <w:p w14:paraId="45553333" w14:textId="755E4150" w:rsidR="006A591D" w:rsidRPr="00A11CB3" w:rsidRDefault="00397617" w:rsidP="00832284">
      <w:pPr>
        <w:ind w:left="720" w:hanging="720"/>
        <w:jc w:val="both"/>
        <w:rPr>
          <w:b/>
        </w:rPr>
      </w:pPr>
      <w:r>
        <w:rPr>
          <w:rFonts w:cs="Arial"/>
          <w:lang w:eastAsia="en-GB"/>
        </w:rPr>
        <w:t>2.1</w:t>
      </w:r>
      <w:r>
        <w:rPr>
          <w:rFonts w:cs="Arial"/>
          <w:lang w:eastAsia="en-GB"/>
        </w:rPr>
        <w:tab/>
      </w:r>
      <w:r w:rsidR="004019F5" w:rsidRPr="00B473BC">
        <w:rPr>
          <w:rFonts w:cs="Arial"/>
          <w:b/>
          <w:bCs/>
          <w:lang w:eastAsia="en-GB"/>
        </w:rPr>
        <w:t>Option 1:</w:t>
      </w:r>
      <w:r w:rsidR="004019F5">
        <w:rPr>
          <w:rFonts w:cs="Arial"/>
          <w:lang w:eastAsia="en-GB"/>
        </w:rPr>
        <w:t xml:space="preserve"> </w:t>
      </w:r>
      <w:r w:rsidR="00983776" w:rsidRPr="00983776">
        <w:rPr>
          <w:rFonts w:cs="Arial"/>
          <w:b/>
          <w:bCs/>
          <w:lang w:eastAsia="en-GB"/>
        </w:rPr>
        <w:t>Separate</w:t>
      </w:r>
      <w:r w:rsidR="00983776">
        <w:rPr>
          <w:rFonts w:cs="Arial"/>
          <w:lang w:eastAsia="en-GB"/>
        </w:rPr>
        <w:t xml:space="preserve"> </w:t>
      </w:r>
      <w:r w:rsidR="006A591D">
        <w:rPr>
          <w:b/>
        </w:rPr>
        <w:t>O</w:t>
      </w:r>
      <w:r w:rsidR="006A591D" w:rsidRPr="00A11CB3">
        <w:rPr>
          <w:b/>
        </w:rPr>
        <w:t>pen tender</w:t>
      </w:r>
      <w:r w:rsidR="00F035C6">
        <w:rPr>
          <w:b/>
        </w:rPr>
        <w:t>s</w:t>
      </w:r>
      <w:r w:rsidR="006A591D" w:rsidRPr="00A11CB3">
        <w:rPr>
          <w:b/>
        </w:rPr>
        <w:t xml:space="preserve"> </w:t>
      </w:r>
      <w:r w:rsidR="00455ED9">
        <w:rPr>
          <w:b/>
        </w:rPr>
        <w:t>for</w:t>
      </w:r>
      <w:r w:rsidR="008E2F9E">
        <w:rPr>
          <w:b/>
        </w:rPr>
        <w:t xml:space="preserve"> years</w:t>
      </w:r>
      <w:r w:rsidR="00455ED9">
        <w:rPr>
          <w:b/>
        </w:rPr>
        <w:t xml:space="preserve"> 2</w:t>
      </w:r>
      <w:r w:rsidR="00F035C6">
        <w:rPr>
          <w:b/>
        </w:rPr>
        <w:t>02</w:t>
      </w:r>
      <w:r w:rsidR="00455ED9">
        <w:rPr>
          <w:b/>
        </w:rPr>
        <w:t>3/24</w:t>
      </w:r>
      <w:r w:rsidR="008E2F9E">
        <w:rPr>
          <w:b/>
        </w:rPr>
        <w:t>,</w:t>
      </w:r>
      <w:r w:rsidR="00455ED9">
        <w:rPr>
          <w:b/>
        </w:rPr>
        <w:t xml:space="preserve"> 2</w:t>
      </w:r>
      <w:r w:rsidR="00F035C6">
        <w:rPr>
          <w:b/>
        </w:rPr>
        <w:t>02</w:t>
      </w:r>
      <w:r w:rsidR="00455ED9">
        <w:rPr>
          <w:b/>
        </w:rPr>
        <w:t>4/25</w:t>
      </w:r>
      <w:r w:rsidR="006A591D">
        <w:rPr>
          <w:b/>
        </w:rPr>
        <w:t xml:space="preserve"> </w:t>
      </w:r>
      <w:r w:rsidR="008E2F9E">
        <w:rPr>
          <w:b/>
        </w:rPr>
        <w:t>and 202</w:t>
      </w:r>
      <w:r w:rsidR="00B368D2">
        <w:rPr>
          <w:b/>
        </w:rPr>
        <w:t xml:space="preserve">5/26 </w:t>
      </w:r>
      <w:r w:rsidR="00F035C6">
        <w:rPr>
          <w:b/>
        </w:rPr>
        <w:t xml:space="preserve">for </w:t>
      </w:r>
      <w:r w:rsidR="006A591D">
        <w:rPr>
          <w:b/>
        </w:rPr>
        <w:t>each contract</w:t>
      </w:r>
      <w:r w:rsidR="00C81B0B">
        <w:rPr>
          <w:b/>
        </w:rPr>
        <w:t>.</w:t>
      </w:r>
    </w:p>
    <w:p w14:paraId="709A14E0" w14:textId="106FC0BB" w:rsidR="006A591D" w:rsidRDefault="006A591D" w:rsidP="00C77234">
      <w:pPr>
        <w:ind w:left="720"/>
        <w:jc w:val="both"/>
      </w:pPr>
      <w:r>
        <w:t xml:space="preserve">Engaging in </w:t>
      </w:r>
      <w:r w:rsidR="00486847">
        <w:t xml:space="preserve">annual </w:t>
      </w:r>
      <w:r>
        <w:t>open tender</w:t>
      </w:r>
      <w:r w:rsidR="00F035C6">
        <w:t>s</w:t>
      </w:r>
      <w:r>
        <w:t xml:space="preserve"> in this instance </w:t>
      </w:r>
      <w:r w:rsidR="00052918">
        <w:t>would result in 6</w:t>
      </w:r>
      <w:r w:rsidR="00D74B83">
        <w:t xml:space="preserve"> individual</w:t>
      </w:r>
      <w:r w:rsidR="00052918">
        <w:t xml:space="preserve"> time</w:t>
      </w:r>
      <w:r w:rsidR="00703D0A">
        <w:t>-</w:t>
      </w:r>
      <w:r w:rsidR="00052918">
        <w:t xml:space="preserve">consuming </w:t>
      </w:r>
      <w:r w:rsidR="007B70E8">
        <w:t>procurements</w:t>
      </w:r>
      <w:r w:rsidR="00141250">
        <w:t xml:space="preserve"> and internal governance processe</w:t>
      </w:r>
      <w:r w:rsidR="007B70E8">
        <w:t>s</w:t>
      </w:r>
      <w:r w:rsidR="00141250">
        <w:t xml:space="preserve">. This could also result in </w:t>
      </w:r>
      <w:r w:rsidR="007B70E8">
        <w:t>3 different contractors</w:t>
      </w:r>
      <w:r w:rsidR="006F6298">
        <w:t xml:space="preserve"> being nominated for Kitchens &amp; Bathrooms refurbishments and Windows &amp; Doors Re</w:t>
      </w:r>
      <w:r w:rsidR="00B90A2F">
        <w:t>n</w:t>
      </w:r>
      <w:r w:rsidR="006F6298">
        <w:t xml:space="preserve">ewals </w:t>
      </w:r>
      <w:r w:rsidR="00D74B83">
        <w:t>respectively,</w:t>
      </w:r>
      <w:r w:rsidR="006F6298">
        <w:t xml:space="preserve"> therefore resulting in</w:t>
      </w:r>
      <w:r w:rsidR="002A61D3">
        <w:t xml:space="preserve"> being more susceptible to</w:t>
      </w:r>
      <w:r w:rsidR="006F6298">
        <w:t xml:space="preserve"> </w:t>
      </w:r>
      <w:r w:rsidR="002A61D3">
        <w:t xml:space="preserve">price increases and </w:t>
      </w:r>
      <w:r w:rsidR="00A7688B">
        <w:t>no con</w:t>
      </w:r>
      <w:r w:rsidR="00D74B83">
        <w:t>tinuation with clint/con</w:t>
      </w:r>
      <w:r w:rsidR="002A61D3">
        <w:t xml:space="preserve">tractor </w:t>
      </w:r>
      <w:r w:rsidR="00D74B83">
        <w:t>relationship building</w:t>
      </w:r>
      <w:r w:rsidR="002A61D3">
        <w:t>.</w:t>
      </w:r>
      <w:r w:rsidR="007B70E8">
        <w:t xml:space="preserve"> </w:t>
      </w:r>
    </w:p>
    <w:p w14:paraId="621FBE0C" w14:textId="77777777" w:rsidR="006A591D" w:rsidRDefault="006A591D" w:rsidP="006A591D">
      <w:pPr>
        <w:jc w:val="both"/>
      </w:pPr>
    </w:p>
    <w:p w14:paraId="7994839D" w14:textId="43987B55" w:rsidR="002A61D3" w:rsidRPr="00824045" w:rsidRDefault="3951D2A0" w:rsidP="004017E7">
      <w:pPr>
        <w:autoSpaceDE w:val="0"/>
        <w:autoSpaceDN w:val="0"/>
        <w:adjustRightInd w:val="0"/>
        <w:ind w:left="720" w:hanging="720"/>
        <w:rPr>
          <w:rFonts w:cs="Arial"/>
          <w:b/>
          <w:bCs/>
          <w:lang w:eastAsia="en-GB"/>
        </w:rPr>
      </w:pPr>
      <w:r w:rsidRPr="1B42CD03">
        <w:rPr>
          <w:rFonts w:cs="Arial"/>
          <w:lang w:eastAsia="en-GB"/>
        </w:rPr>
        <w:t>2.</w:t>
      </w:r>
      <w:r w:rsidR="00CC1EA6">
        <w:rPr>
          <w:rFonts w:cs="Arial"/>
          <w:lang w:eastAsia="en-GB"/>
        </w:rPr>
        <w:t>2</w:t>
      </w:r>
      <w:r w:rsidR="00397617">
        <w:rPr>
          <w:rFonts w:cs="Arial"/>
          <w:lang w:eastAsia="en-GB"/>
        </w:rPr>
        <w:tab/>
      </w:r>
      <w:r w:rsidR="004019F5" w:rsidRPr="00B473BC">
        <w:rPr>
          <w:rFonts w:cs="Arial"/>
          <w:b/>
          <w:bCs/>
          <w:lang w:eastAsia="en-GB"/>
        </w:rPr>
        <w:t>Option 2:</w:t>
      </w:r>
      <w:r w:rsidR="004019F5">
        <w:rPr>
          <w:rFonts w:cs="Arial"/>
          <w:lang w:eastAsia="en-GB"/>
        </w:rPr>
        <w:t xml:space="preserve"> </w:t>
      </w:r>
      <w:r w:rsidR="006B1E5B" w:rsidRPr="00832284">
        <w:rPr>
          <w:rFonts w:cs="Arial"/>
          <w:b/>
          <w:bCs/>
          <w:lang w:eastAsia="en-GB"/>
        </w:rPr>
        <w:t xml:space="preserve">Tendering Kitchen &amp; Bathrooms </w:t>
      </w:r>
      <w:r w:rsidR="00F63556" w:rsidRPr="00832284">
        <w:rPr>
          <w:rFonts w:cs="Arial"/>
          <w:b/>
          <w:bCs/>
          <w:lang w:eastAsia="en-GB"/>
        </w:rPr>
        <w:t xml:space="preserve">and Windows &amp; Doors </w:t>
      </w:r>
      <w:r w:rsidR="006B1E5B" w:rsidRPr="00832284">
        <w:rPr>
          <w:rFonts w:cs="Arial"/>
          <w:b/>
          <w:bCs/>
          <w:lang w:eastAsia="en-GB"/>
        </w:rPr>
        <w:t>together</w:t>
      </w:r>
      <w:r w:rsidR="002A61D3">
        <w:rPr>
          <w:rFonts w:cs="Arial"/>
          <w:b/>
          <w:bCs/>
          <w:lang w:eastAsia="en-GB"/>
        </w:rPr>
        <w:t xml:space="preserve"> on a 2-year programme with an option to extend</w:t>
      </w:r>
      <w:r w:rsidR="00E600A3">
        <w:rPr>
          <w:rFonts w:cs="Arial"/>
          <w:lang w:eastAsia="en-GB"/>
        </w:rPr>
        <w:t xml:space="preserve"> </w:t>
      </w:r>
      <w:r w:rsidR="00E600A3" w:rsidRPr="00824045">
        <w:rPr>
          <w:rFonts w:cs="Arial"/>
          <w:b/>
          <w:bCs/>
          <w:lang w:eastAsia="en-GB"/>
        </w:rPr>
        <w:t>for 1 further year.</w:t>
      </w:r>
    </w:p>
    <w:p w14:paraId="3E9F11CF" w14:textId="3C74DF5C" w:rsidR="008817C2" w:rsidRDefault="003F12D7" w:rsidP="00832284">
      <w:pPr>
        <w:autoSpaceDE w:val="0"/>
        <w:autoSpaceDN w:val="0"/>
        <w:adjustRightInd w:val="0"/>
        <w:ind w:left="720"/>
        <w:rPr>
          <w:rFonts w:cs="Arial"/>
          <w:lang w:eastAsia="en-GB"/>
        </w:rPr>
      </w:pPr>
      <w:r>
        <w:rPr>
          <w:rFonts w:cs="Arial"/>
          <w:lang w:eastAsia="en-GB"/>
        </w:rPr>
        <w:t>T</w:t>
      </w:r>
      <w:r w:rsidR="00864819">
        <w:rPr>
          <w:rFonts w:cs="Arial"/>
          <w:lang w:eastAsia="en-GB"/>
        </w:rPr>
        <w:t>his would attract large scale contractors that would</w:t>
      </w:r>
      <w:r w:rsidR="005F045F">
        <w:rPr>
          <w:rFonts w:cs="Arial"/>
          <w:lang w:eastAsia="en-GB"/>
        </w:rPr>
        <w:t xml:space="preserve"> sub-contract the works and programmes would</w:t>
      </w:r>
      <w:r w:rsidR="00864819">
        <w:rPr>
          <w:rFonts w:cs="Arial"/>
          <w:lang w:eastAsia="en-GB"/>
        </w:rPr>
        <w:t xml:space="preserve"> </w:t>
      </w:r>
      <w:r w:rsidR="00C46E1C">
        <w:rPr>
          <w:rFonts w:cs="Arial"/>
          <w:lang w:eastAsia="en-GB"/>
        </w:rPr>
        <w:t>be subject to high preliminary costs and management fees</w:t>
      </w:r>
      <w:r w:rsidR="0038224D">
        <w:rPr>
          <w:rFonts w:cs="Arial"/>
          <w:lang w:eastAsia="en-GB"/>
        </w:rPr>
        <w:t>. The council believes it would be more beneficial to tender each of these workstreams separately to attract specialist contractors</w:t>
      </w:r>
      <w:r w:rsidR="00E600A3">
        <w:rPr>
          <w:rFonts w:cs="Arial"/>
          <w:lang w:eastAsia="en-GB"/>
        </w:rPr>
        <w:t xml:space="preserve"> and ensure best value is achieved.</w:t>
      </w:r>
    </w:p>
    <w:p w14:paraId="46AF0BA0" w14:textId="77777777" w:rsidR="008817C2" w:rsidRDefault="008817C2" w:rsidP="00640845">
      <w:pPr>
        <w:autoSpaceDE w:val="0"/>
        <w:autoSpaceDN w:val="0"/>
        <w:adjustRightInd w:val="0"/>
        <w:jc w:val="both"/>
        <w:rPr>
          <w:rFonts w:cs="Arial"/>
          <w:lang w:eastAsia="en-GB"/>
        </w:rPr>
      </w:pPr>
    </w:p>
    <w:p w14:paraId="36239CE6" w14:textId="2C7E7779" w:rsidR="002A61D3" w:rsidRDefault="3951D2A0" w:rsidP="00CC1EA6">
      <w:pPr>
        <w:autoSpaceDE w:val="0"/>
        <w:autoSpaceDN w:val="0"/>
        <w:adjustRightInd w:val="0"/>
        <w:ind w:left="720" w:hanging="720"/>
      </w:pPr>
      <w:r w:rsidRPr="1B42CD03">
        <w:rPr>
          <w:rFonts w:cs="Arial"/>
          <w:lang w:eastAsia="en-GB"/>
        </w:rPr>
        <w:t>2.</w:t>
      </w:r>
      <w:r w:rsidR="00CC1EA6">
        <w:rPr>
          <w:rFonts w:cs="Arial"/>
          <w:lang w:eastAsia="en-GB"/>
        </w:rPr>
        <w:t>3</w:t>
      </w:r>
      <w:r w:rsidRPr="1B42CD03">
        <w:rPr>
          <w:rFonts w:cs="Arial"/>
          <w:lang w:eastAsia="en-GB"/>
        </w:rPr>
        <w:t xml:space="preserve"> </w:t>
      </w:r>
      <w:r w:rsidR="00ED5824">
        <w:rPr>
          <w:rFonts w:cs="Arial"/>
          <w:lang w:eastAsia="en-GB"/>
        </w:rPr>
        <w:tab/>
      </w:r>
      <w:r w:rsidR="004019F5">
        <w:rPr>
          <w:rFonts w:cs="Arial"/>
          <w:b/>
          <w:bCs/>
          <w:lang w:eastAsia="en-GB"/>
        </w:rPr>
        <w:t xml:space="preserve">Option 3: </w:t>
      </w:r>
      <w:r w:rsidR="0038224D" w:rsidRPr="00ED3922">
        <w:rPr>
          <w:b/>
          <w:bCs/>
        </w:rPr>
        <w:t>Do nothing</w:t>
      </w:r>
      <w:r w:rsidR="0038224D">
        <w:t xml:space="preserve">. </w:t>
      </w:r>
    </w:p>
    <w:p w14:paraId="445DC361" w14:textId="44D3EDBF" w:rsidR="008817C2" w:rsidRDefault="0037386A" w:rsidP="00ED3922">
      <w:pPr>
        <w:autoSpaceDE w:val="0"/>
        <w:autoSpaceDN w:val="0"/>
        <w:adjustRightInd w:val="0"/>
        <w:ind w:left="720"/>
        <w:rPr>
          <w:rFonts w:cs="Arial"/>
          <w:lang w:eastAsia="en-GB"/>
        </w:rPr>
      </w:pPr>
      <w:r>
        <w:rPr>
          <w:rFonts w:cs="Arial"/>
          <w:lang w:eastAsia="en-GB"/>
        </w:rPr>
        <w:t>Th</w:t>
      </w:r>
      <w:r w:rsidR="0038224D">
        <w:t xml:space="preserve">is would mean kitchens, bathrooms, </w:t>
      </w:r>
      <w:proofErr w:type="gramStart"/>
      <w:r w:rsidR="0038224D">
        <w:t>windows</w:t>
      </w:r>
      <w:proofErr w:type="gramEnd"/>
      <w:r w:rsidR="0038224D">
        <w:t xml:space="preserve"> and doors would fall into disrepair and compromise</w:t>
      </w:r>
      <w:r w:rsidR="00CC1EA6">
        <w:t xml:space="preserve"> residents’ Health &amp; Safety.</w:t>
      </w:r>
      <w:r>
        <w:t xml:space="preserve"> This would mean an increase in revenue/repair costs and</w:t>
      </w:r>
      <w:r w:rsidR="008E68DA">
        <w:t xml:space="preserve"> complaints from residents.</w:t>
      </w:r>
    </w:p>
    <w:p w14:paraId="5C1D3A4D" w14:textId="77777777" w:rsidR="008817C2" w:rsidRDefault="008817C2" w:rsidP="00640845">
      <w:pPr>
        <w:autoSpaceDE w:val="0"/>
        <w:autoSpaceDN w:val="0"/>
        <w:adjustRightInd w:val="0"/>
        <w:jc w:val="both"/>
        <w:rPr>
          <w:rFonts w:cs="Arial"/>
          <w:lang w:eastAsia="en-GB"/>
        </w:rPr>
      </w:pPr>
    </w:p>
    <w:p w14:paraId="421CEFBC" w14:textId="49FDBD10" w:rsidR="007D2176" w:rsidRDefault="3951D2A0" w:rsidP="007D2176">
      <w:pPr>
        <w:autoSpaceDE w:val="0"/>
        <w:autoSpaceDN w:val="0"/>
        <w:adjustRightInd w:val="0"/>
        <w:ind w:left="720" w:hanging="720"/>
        <w:rPr>
          <w:b/>
          <w:bCs/>
        </w:rPr>
      </w:pPr>
      <w:r w:rsidRPr="1B42CD03">
        <w:rPr>
          <w:rFonts w:cs="Arial"/>
          <w:lang w:eastAsia="en-GB"/>
        </w:rPr>
        <w:t>2.</w:t>
      </w:r>
      <w:r w:rsidR="00CC1EA6">
        <w:rPr>
          <w:rFonts w:cs="Arial"/>
          <w:lang w:eastAsia="en-GB"/>
        </w:rPr>
        <w:t>4</w:t>
      </w:r>
      <w:r w:rsidRPr="1B42CD03">
        <w:rPr>
          <w:rFonts w:cs="Arial"/>
          <w:lang w:eastAsia="en-GB"/>
        </w:rPr>
        <w:t xml:space="preserve"> </w:t>
      </w:r>
      <w:r w:rsidR="00ED5824">
        <w:rPr>
          <w:rFonts w:cs="Arial"/>
          <w:lang w:eastAsia="en-GB"/>
        </w:rPr>
        <w:tab/>
      </w:r>
      <w:r w:rsidR="004019F5" w:rsidRPr="00B473BC">
        <w:rPr>
          <w:rFonts w:cs="Arial"/>
          <w:b/>
          <w:bCs/>
          <w:lang w:eastAsia="en-GB"/>
        </w:rPr>
        <w:t>Option 4:</w:t>
      </w:r>
      <w:r w:rsidR="004019F5">
        <w:rPr>
          <w:rFonts w:cs="Arial"/>
          <w:lang w:eastAsia="en-GB"/>
        </w:rPr>
        <w:t xml:space="preserve"> </w:t>
      </w:r>
      <w:r w:rsidR="007D2176" w:rsidRPr="00ED3922">
        <w:rPr>
          <w:rFonts w:cs="Arial"/>
          <w:b/>
          <w:bCs/>
          <w:lang w:eastAsia="en-GB"/>
        </w:rPr>
        <w:t xml:space="preserve">To </w:t>
      </w:r>
      <w:r w:rsidR="007D2176" w:rsidRPr="00ED3922">
        <w:rPr>
          <w:b/>
          <w:bCs/>
        </w:rPr>
        <w:t>undertake</w:t>
      </w:r>
      <w:r w:rsidR="001E3C78">
        <w:rPr>
          <w:b/>
          <w:bCs/>
        </w:rPr>
        <w:t xml:space="preserve"> 2 </w:t>
      </w:r>
      <w:r w:rsidR="00E160CB">
        <w:rPr>
          <w:b/>
          <w:bCs/>
        </w:rPr>
        <w:t>separate</w:t>
      </w:r>
      <w:r w:rsidR="007D2176" w:rsidRPr="00ED3922">
        <w:rPr>
          <w:b/>
          <w:bCs/>
        </w:rPr>
        <w:t xml:space="preserve"> procurement processes for the selection of </w:t>
      </w:r>
      <w:r w:rsidR="00E160CB">
        <w:rPr>
          <w:b/>
          <w:bCs/>
        </w:rPr>
        <w:t>2</w:t>
      </w:r>
      <w:r w:rsidR="00E160CB" w:rsidRPr="00ED3922">
        <w:rPr>
          <w:b/>
          <w:bCs/>
        </w:rPr>
        <w:t xml:space="preserve"> </w:t>
      </w:r>
      <w:r w:rsidR="007D2176" w:rsidRPr="00ED3922">
        <w:rPr>
          <w:b/>
          <w:bCs/>
        </w:rPr>
        <w:t xml:space="preserve">contractors to deliver Kitchens &amp; Bathrooms refurbishments and Windows &amp; Doors renewals for 2 years </w:t>
      </w:r>
      <w:r w:rsidR="004019F5" w:rsidRPr="00B473BC">
        <w:rPr>
          <w:b/>
          <w:bCs/>
        </w:rPr>
        <w:t xml:space="preserve">in the 2023/24 &amp; 2024/25 Housing Capital Programmes </w:t>
      </w:r>
      <w:r w:rsidR="00C02FE9" w:rsidRPr="004019F5">
        <w:rPr>
          <w:b/>
          <w:bCs/>
        </w:rPr>
        <w:t>with</w:t>
      </w:r>
      <w:r w:rsidR="00B50087" w:rsidRPr="004019F5">
        <w:rPr>
          <w:b/>
          <w:bCs/>
        </w:rPr>
        <w:t xml:space="preserve"> </w:t>
      </w:r>
      <w:r w:rsidR="007D2176" w:rsidRPr="004019F5">
        <w:rPr>
          <w:b/>
          <w:bCs/>
        </w:rPr>
        <w:t>the option</w:t>
      </w:r>
      <w:r w:rsidR="007D2176" w:rsidRPr="00F22043">
        <w:rPr>
          <w:b/>
          <w:bCs/>
        </w:rPr>
        <w:t xml:space="preserve"> to extend for a further year for both </w:t>
      </w:r>
      <w:r w:rsidR="008741CC" w:rsidRPr="00F22043">
        <w:rPr>
          <w:b/>
          <w:bCs/>
        </w:rPr>
        <w:t>procurements</w:t>
      </w:r>
      <w:r w:rsidR="007D2176" w:rsidRPr="00F22043">
        <w:rPr>
          <w:b/>
          <w:bCs/>
        </w:rPr>
        <w:t>.</w:t>
      </w:r>
    </w:p>
    <w:p w14:paraId="72460291" w14:textId="2413E371" w:rsidR="00C02FE9" w:rsidRDefault="00C02FE9" w:rsidP="007D2176">
      <w:pPr>
        <w:autoSpaceDE w:val="0"/>
        <w:autoSpaceDN w:val="0"/>
        <w:adjustRightInd w:val="0"/>
        <w:ind w:left="720" w:hanging="720"/>
      </w:pPr>
      <w:r>
        <w:rPr>
          <w:rFonts w:cs="Arial"/>
          <w:lang w:eastAsia="en-GB"/>
        </w:rPr>
        <w:tab/>
        <w:t xml:space="preserve">This </w:t>
      </w:r>
      <w:r w:rsidR="00B50087">
        <w:rPr>
          <w:rFonts w:cs="Arial"/>
          <w:lang w:eastAsia="en-GB"/>
        </w:rPr>
        <w:t xml:space="preserve">would attract specialist </w:t>
      </w:r>
      <w:r w:rsidR="00AB6A93">
        <w:rPr>
          <w:rFonts w:cs="Arial"/>
          <w:lang w:eastAsia="en-GB"/>
        </w:rPr>
        <w:t>local SMEs for each procurement</w:t>
      </w:r>
      <w:r w:rsidR="001C4CA3">
        <w:rPr>
          <w:rFonts w:cs="Arial"/>
          <w:lang w:eastAsia="en-GB"/>
        </w:rPr>
        <w:t>, offer a continuation in standards and increased Value for Money</w:t>
      </w:r>
      <w:r w:rsidR="00B238F5">
        <w:rPr>
          <w:rFonts w:cs="Arial"/>
          <w:lang w:eastAsia="en-GB"/>
        </w:rPr>
        <w:t xml:space="preserve"> for each programme. The</w:t>
      </w:r>
      <w:r w:rsidR="00C77574">
        <w:rPr>
          <w:rFonts w:cs="Arial"/>
          <w:lang w:eastAsia="en-GB"/>
        </w:rPr>
        <w:t xml:space="preserve"> decision to take the</w:t>
      </w:r>
      <w:r w:rsidR="00B238F5">
        <w:rPr>
          <w:rFonts w:cs="Arial"/>
          <w:lang w:eastAsia="en-GB"/>
        </w:rPr>
        <w:t xml:space="preserve"> option</w:t>
      </w:r>
      <w:r w:rsidR="00C77574">
        <w:rPr>
          <w:rFonts w:cs="Arial"/>
          <w:lang w:eastAsia="en-GB"/>
        </w:rPr>
        <w:t>s</w:t>
      </w:r>
      <w:r w:rsidR="00B238F5">
        <w:rPr>
          <w:rFonts w:cs="Arial"/>
          <w:lang w:eastAsia="en-GB"/>
        </w:rPr>
        <w:t xml:space="preserve"> to extend can be</w:t>
      </w:r>
      <w:r w:rsidR="00C77574">
        <w:rPr>
          <w:rFonts w:cs="Arial"/>
          <w:lang w:eastAsia="en-GB"/>
        </w:rPr>
        <w:t xml:space="preserve"> made after monitorin</w:t>
      </w:r>
      <w:r w:rsidR="000F0D84">
        <w:rPr>
          <w:rFonts w:cs="Arial"/>
          <w:lang w:eastAsia="en-GB"/>
        </w:rPr>
        <w:t>g</w:t>
      </w:r>
      <w:r w:rsidR="00C77574">
        <w:rPr>
          <w:rFonts w:cs="Arial"/>
          <w:lang w:eastAsia="en-GB"/>
        </w:rPr>
        <w:t xml:space="preserve"> the contractors’ performance</w:t>
      </w:r>
      <w:r w:rsidR="000F0D84">
        <w:rPr>
          <w:rFonts w:cs="Arial"/>
          <w:lang w:eastAsia="en-GB"/>
        </w:rPr>
        <w:t xml:space="preserve"> and KPIs.</w:t>
      </w:r>
    </w:p>
    <w:p w14:paraId="2739D829" w14:textId="77777777" w:rsidR="007D2176" w:rsidRDefault="007D2176" w:rsidP="007D2176">
      <w:pPr>
        <w:autoSpaceDE w:val="0"/>
        <w:autoSpaceDN w:val="0"/>
        <w:adjustRightInd w:val="0"/>
        <w:ind w:left="720" w:hanging="720"/>
      </w:pPr>
    </w:p>
    <w:p w14:paraId="0BE1B5FE" w14:textId="533BA0CE" w:rsidR="007D2176" w:rsidRDefault="00927F89" w:rsidP="000E0049">
      <w:pPr>
        <w:autoSpaceDE w:val="0"/>
        <w:autoSpaceDN w:val="0"/>
        <w:adjustRightInd w:val="0"/>
        <w:ind w:left="720" w:hanging="720"/>
        <w:rPr>
          <w:rFonts w:cs="Arial"/>
          <w:lang w:eastAsia="en-GB"/>
        </w:rPr>
      </w:pPr>
      <w:r>
        <w:t>2.5</w:t>
      </w:r>
      <w:r w:rsidR="008B17BF">
        <w:tab/>
        <w:t xml:space="preserve">The recommended </w:t>
      </w:r>
      <w:r w:rsidR="00627451">
        <w:t>option is</w:t>
      </w:r>
      <w:r w:rsidR="004019F5">
        <w:t xml:space="preserve"> </w:t>
      </w:r>
      <w:r w:rsidR="004019F5" w:rsidRPr="004964E8">
        <w:rPr>
          <w:rFonts w:cs="Arial"/>
          <w:b/>
          <w:bCs/>
          <w:lang w:eastAsia="en-GB"/>
        </w:rPr>
        <w:t>Option 4:</w:t>
      </w:r>
      <w:r w:rsidR="004019F5">
        <w:rPr>
          <w:rFonts w:cs="Arial"/>
          <w:lang w:eastAsia="en-GB"/>
        </w:rPr>
        <w:t xml:space="preserve"> </w:t>
      </w:r>
      <w:r w:rsidR="00627451">
        <w:t xml:space="preserve"> </w:t>
      </w:r>
      <w:r w:rsidR="004019F5" w:rsidRPr="00ED3922">
        <w:rPr>
          <w:rFonts w:cs="Arial"/>
          <w:b/>
          <w:bCs/>
          <w:lang w:eastAsia="en-GB"/>
        </w:rPr>
        <w:t xml:space="preserve">To </w:t>
      </w:r>
      <w:r w:rsidR="004019F5" w:rsidRPr="00ED3922">
        <w:rPr>
          <w:b/>
          <w:bCs/>
        </w:rPr>
        <w:t>undertake</w:t>
      </w:r>
      <w:r w:rsidR="004019F5">
        <w:rPr>
          <w:b/>
          <w:bCs/>
        </w:rPr>
        <w:t xml:space="preserve"> 2 separate</w:t>
      </w:r>
      <w:r w:rsidR="004019F5" w:rsidRPr="00ED3922">
        <w:rPr>
          <w:b/>
          <w:bCs/>
        </w:rPr>
        <w:t xml:space="preserve"> procurement processes for the selection of </w:t>
      </w:r>
      <w:r w:rsidR="004019F5">
        <w:rPr>
          <w:b/>
          <w:bCs/>
        </w:rPr>
        <w:t>2</w:t>
      </w:r>
      <w:r w:rsidR="004019F5" w:rsidRPr="00ED3922">
        <w:rPr>
          <w:b/>
          <w:bCs/>
        </w:rPr>
        <w:t xml:space="preserve"> contractors to deliver Kitchens &amp; Bathrooms refurbishments and Windows &amp; Doors renewals for 2 years </w:t>
      </w:r>
      <w:r w:rsidR="004019F5" w:rsidRPr="004964E8">
        <w:rPr>
          <w:b/>
          <w:bCs/>
        </w:rPr>
        <w:t xml:space="preserve">in the 2023/24 &amp; 2024/25 Housing Capital Programmes </w:t>
      </w:r>
      <w:r w:rsidR="004019F5" w:rsidRPr="004019F5">
        <w:rPr>
          <w:b/>
          <w:bCs/>
        </w:rPr>
        <w:t>with the option</w:t>
      </w:r>
      <w:r w:rsidR="004019F5" w:rsidRPr="00F22043">
        <w:rPr>
          <w:b/>
          <w:bCs/>
        </w:rPr>
        <w:t xml:space="preserve"> to extend for a further year for both procurements.</w:t>
      </w:r>
      <w:r w:rsidR="004019F5">
        <w:t xml:space="preserve"> B</w:t>
      </w:r>
      <w:r w:rsidR="00E160CB">
        <w:t>oth contacts</w:t>
      </w:r>
      <w:r w:rsidR="00030380">
        <w:t xml:space="preserve"> </w:t>
      </w:r>
      <w:r w:rsidR="004019F5">
        <w:t>are to be procured</w:t>
      </w:r>
      <w:r w:rsidR="00233C09">
        <w:t xml:space="preserve"> via the open tender process.</w:t>
      </w:r>
      <w:r w:rsidR="004A22B4">
        <w:t xml:space="preserve"> </w:t>
      </w:r>
      <w:r w:rsidR="001209CE">
        <w:t>The</w:t>
      </w:r>
      <w:r w:rsidR="005E27BF">
        <w:t xml:space="preserve"> advantage of longer</w:t>
      </w:r>
      <w:r w:rsidR="003F1E57">
        <w:t>-</w:t>
      </w:r>
      <w:r w:rsidR="005E27BF">
        <w:t xml:space="preserve">term </w:t>
      </w:r>
      <w:r w:rsidR="00E600A3">
        <w:t>contract</w:t>
      </w:r>
      <w:r w:rsidR="004019F5">
        <w:t>s</w:t>
      </w:r>
      <w:r w:rsidR="00E600A3">
        <w:t xml:space="preserve"> </w:t>
      </w:r>
      <w:r w:rsidR="005E27BF">
        <w:t>would be to build relationship</w:t>
      </w:r>
      <w:r w:rsidR="004019F5">
        <w:t>s</w:t>
      </w:r>
      <w:r w:rsidR="005E27BF">
        <w:t xml:space="preserve"> </w:t>
      </w:r>
      <w:r w:rsidR="002D6AF6">
        <w:t xml:space="preserve">with single contractors obtaining value for money as opposed to </w:t>
      </w:r>
      <w:r w:rsidR="006268A0">
        <w:t xml:space="preserve">separate year on year procurement which </w:t>
      </w:r>
      <w:r w:rsidR="00926711">
        <w:t>can incur delays and result in different contractors delivering to different standards.</w:t>
      </w:r>
    </w:p>
    <w:p w14:paraId="56F14B22" w14:textId="7E88B24D" w:rsidR="008817C2" w:rsidRDefault="008817C2" w:rsidP="007D2176">
      <w:pPr>
        <w:autoSpaceDE w:val="0"/>
        <w:autoSpaceDN w:val="0"/>
        <w:adjustRightInd w:val="0"/>
        <w:ind w:left="720" w:hanging="720"/>
        <w:rPr>
          <w:rFonts w:cs="Arial"/>
          <w:lang w:eastAsia="en-GB"/>
        </w:rPr>
      </w:pPr>
    </w:p>
    <w:p w14:paraId="0C7123D2" w14:textId="2DF9DE02" w:rsidR="008817C2" w:rsidRDefault="008817C2" w:rsidP="00640845">
      <w:pPr>
        <w:autoSpaceDE w:val="0"/>
        <w:autoSpaceDN w:val="0"/>
        <w:adjustRightInd w:val="0"/>
        <w:jc w:val="both"/>
        <w:rPr>
          <w:rFonts w:cs="Arial"/>
          <w:lang w:eastAsia="en-GB"/>
        </w:rPr>
      </w:pPr>
    </w:p>
    <w:p w14:paraId="65C6C239" w14:textId="77777777" w:rsidR="000E0049" w:rsidRDefault="000E0049" w:rsidP="00640845">
      <w:pPr>
        <w:autoSpaceDE w:val="0"/>
        <w:autoSpaceDN w:val="0"/>
        <w:adjustRightInd w:val="0"/>
        <w:jc w:val="both"/>
        <w:rPr>
          <w:rFonts w:cs="Arial"/>
          <w:lang w:eastAsia="en-GB"/>
        </w:rPr>
      </w:pPr>
    </w:p>
    <w:p w14:paraId="17C10CC9" w14:textId="36D71DB0" w:rsidR="008817C2" w:rsidRDefault="004019F5" w:rsidP="00640845">
      <w:pPr>
        <w:pStyle w:val="Heading2"/>
        <w:spacing w:before="240"/>
        <w:jc w:val="both"/>
        <w:rPr>
          <w:rFonts w:ascii="Arial" w:hAnsi="Arial"/>
          <w:sz w:val="28"/>
          <w:szCs w:val="28"/>
        </w:rPr>
      </w:pPr>
      <w:r>
        <w:rPr>
          <w:rFonts w:ascii="Arial" w:hAnsi="Arial"/>
          <w:sz w:val="28"/>
          <w:szCs w:val="28"/>
        </w:rPr>
        <w:lastRenderedPageBreak/>
        <w:t>3.0</w:t>
      </w:r>
      <w:r w:rsidR="3951D2A0" w:rsidRPr="1B42CD03">
        <w:rPr>
          <w:rFonts w:ascii="Arial" w:hAnsi="Arial"/>
          <w:sz w:val="28"/>
          <w:szCs w:val="28"/>
        </w:rPr>
        <w:t xml:space="preserve"> </w:t>
      </w:r>
      <w:r w:rsidR="00E06FE6">
        <w:rPr>
          <w:rFonts w:ascii="Arial" w:hAnsi="Arial"/>
          <w:sz w:val="28"/>
          <w:szCs w:val="28"/>
        </w:rPr>
        <w:tab/>
      </w:r>
      <w:r w:rsidR="3951D2A0" w:rsidRPr="1B42CD03">
        <w:rPr>
          <w:rFonts w:ascii="Arial" w:hAnsi="Arial"/>
          <w:sz w:val="28"/>
          <w:szCs w:val="28"/>
        </w:rPr>
        <w:t xml:space="preserve">Background </w:t>
      </w:r>
    </w:p>
    <w:p w14:paraId="7964A079" w14:textId="180C8F1F" w:rsidR="008817C2" w:rsidRDefault="00275E47" w:rsidP="00640845">
      <w:pPr>
        <w:jc w:val="both"/>
      </w:pPr>
      <w:r>
        <w:tab/>
      </w:r>
    </w:p>
    <w:p w14:paraId="19DE7454" w14:textId="0B9AA0C3" w:rsidR="00275E47" w:rsidRPr="00F22043" w:rsidRDefault="004019F5" w:rsidP="00640845">
      <w:pPr>
        <w:jc w:val="both"/>
        <w:rPr>
          <w:b/>
          <w:bCs/>
          <w:u w:val="single"/>
        </w:rPr>
      </w:pPr>
      <w:r>
        <w:t>3.1</w:t>
      </w:r>
      <w:r w:rsidR="00275E47">
        <w:tab/>
      </w:r>
      <w:r w:rsidR="00275E47" w:rsidRPr="00F22043">
        <w:rPr>
          <w:b/>
          <w:bCs/>
          <w:u w:val="single"/>
        </w:rPr>
        <w:t>Kitchens &amp; Bathrooms</w:t>
      </w:r>
    </w:p>
    <w:p w14:paraId="38A10458" w14:textId="194DFB58" w:rsidR="00870EDB" w:rsidRDefault="3951D2A0" w:rsidP="000B43A4">
      <w:pPr>
        <w:ind w:left="709" w:hanging="709"/>
        <w:jc w:val="both"/>
      </w:pPr>
      <w:r>
        <w:t xml:space="preserve"> </w:t>
      </w:r>
      <w:r w:rsidR="00AE6370">
        <w:tab/>
      </w:r>
      <w:r w:rsidR="000F0D84">
        <w:t>As they are all tenanted properties</w:t>
      </w:r>
      <w:r w:rsidR="000F0D84" w:rsidDel="000F0D84">
        <w:t xml:space="preserve"> </w:t>
      </w:r>
      <w:r w:rsidR="000F0D84">
        <w:t>n</w:t>
      </w:r>
      <w:r w:rsidR="00870EDB">
        <w:t>one of the properties on these programmes are subject to Section 20</w:t>
      </w:r>
      <w:r w:rsidR="000B43A4">
        <w:t xml:space="preserve"> </w:t>
      </w:r>
      <w:r w:rsidR="000E7F0C">
        <w:t xml:space="preserve">of </w:t>
      </w:r>
      <w:r w:rsidR="000B43A4">
        <w:t>Landlord &amp; Tenant Act 1985 (as amended)</w:t>
      </w:r>
      <w:r w:rsidR="00870EDB">
        <w:t xml:space="preserve"> processes</w:t>
      </w:r>
      <w:r w:rsidR="0050386F">
        <w:t>.</w:t>
      </w:r>
    </w:p>
    <w:p w14:paraId="5FB01A4F" w14:textId="0C0B1C18" w:rsidR="007A0650" w:rsidRDefault="007A0650" w:rsidP="000B43A4">
      <w:pPr>
        <w:ind w:left="709" w:hanging="709"/>
        <w:jc w:val="both"/>
      </w:pPr>
    </w:p>
    <w:p w14:paraId="246D3593" w14:textId="68FC3D13" w:rsidR="008817C2" w:rsidRDefault="007A0650" w:rsidP="003122E4">
      <w:pPr>
        <w:ind w:left="709" w:hanging="709"/>
        <w:jc w:val="both"/>
      </w:pPr>
      <w:r>
        <w:t xml:space="preserve">3.2 </w:t>
      </w:r>
      <w:r>
        <w:tab/>
      </w:r>
      <w:r w:rsidR="00433146">
        <w:t xml:space="preserve">Harrow aims to replace kitchens </w:t>
      </w:r>
      <w:r w:rsidR="00A706FA">
        <w:t xml:space="preserve">and bathrooms </w:t>
      </w:r>
      <w:r w:rsidR="00433146">
        <w:t>every 25 years</w:t>
      </w:r>
      <w:r w:rsidR="00A706FA">
        <w:t xml:space="preserve"> a</w:t>
      </w:r>
      <w:r w:rsidR="00B74CBE">
        <w:t>n</w:t>
      </w:r>
      <w:r w:rsidR="00A706FA">
        <w:t>d 30 years respectively</w:t>
      </w:r>
      <w:r w:rsidR="00433146">
        <w:t xml:space="preserve"> based on </w:t>
      </w:r>
      <w:r w:rsidR="00CA2949">
        <w:t xml:space="preserve">decent homes guidance, </w:t>
      </w:r>
      <w:r w:rsidR="00433146">
        <w:t>stock condition surve</w:t>
      </w:r>
      <w:r w:rsidR="00A706FA">
        <w:t>ys and</w:t>
      </w:r>
      <w:r w:rsidR="00CA2949">
        <w:t xml:space="preserve"> repairs referrals. </w:t>
      </w:r>
      <w:r w:rsidR="00783094">
        <w:t xml:space="preserve">We have a fully validated </w:t>
      </w:r>
      <w:r w:rsidR="007A3F8E">
        <w:t>stocklist</w:t>
      </w:r>
      <w:r w:rsidR="00783094">
        <w:t xml:space="preserve"> of circa </w:t>
      </w:r>
      <w:r w:rsidR="005D061C">
        <w:t>3</w:t>
      </w:r>
      <w:r w:rsidR="004C13D1">
        <w:t>72</w:t>
      </w:r>
      <w:r w:rsidR="00870F63">
        <w:t xml:space="preserve"> </w:t>
      </w:r>
      <w:r w:rsidR="007A3F8E">
        <w:t xml:space="preserve">properties over the next </w:t>
      </w:r>
      <w:r w:rsidR="005D061C">
        <w:t>2</w:t>
      </w:r>
      <w:r w:rsidR="007A3F8E">
        <w:t xml:space="preserve"> year</w:t>
      </w:r>
      <w:r w:rsidR="005D061C">
        <w:t xml:space="preserve">s with a further </w:t>
      </w:r>
      <w:r w:rsidR="006E2CC1">
        <w:t xml:space="preserve">circa </w:t>
      </w:r>
      <w:r w:rsidR="004C13D1">
        <w:t xml:space="preserve">214 </w:t>
      </w:r>
      <w:r w:rsidR="00F85BBD">
        <w:t>properties</w:t>
      </w:r>
      <w:r w:rsidR="006E2CC1">
        <w:t xml:space="preserve"> in year 3.</w:t>
      </w:r>
      <w:r w:rsidR="00A706FA">
        <w:t xml:space="preserve"> </w:t>
      </w:r>
    </w:p>
    <w:p w14:paraId="0CAD065F" w14:textId="347519C6" w:rsidR="008817C2" w:rsidRDefault="008817C2" w:rsidP="000B43A4">
      <w:pPr>
        <w:jc w:val="both"/>
      </w:pPr>
    </w:p>
    <w:tbl>
      <w:tblPr>
        <w:tblStyle w:val="TableGrid"/>
        <w:tblW w:w="7610" w:type="dxa"/>
        <w:tblInd w:w="607" w:type="dxa"/>
        <w:tblLook w:val="04A0" w:firstRow="1" w:lastRow="0" w:firstColumn="1" w:lastColumn="0" w:noHBand="0" w:noVBand="1"/>
      </w:tblPr>
      <w:tblGrid>
        <w:gridCol w:w="1917"/>
        <w:gridCol w:w="1394"/>
        <w:gridCol w:w="1395"/>
        <w:gridCol w:w="1628"/>
        <w:gridCol w:w="1276"/>
      </w:tblGrid>
      <w:tr w:rsidR="002314D4" w:rsidRPr="002314D4" w14:paraId="6210DFDC" w14:textId="77777777" w:rsidTr="00A955D8">
        <w:trPr>
          <w:trHeight w:val="433"/>
        </w:trPr>
        <w:tc>
          <w:tcPr>
            <w:tcW w:w="761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D5F47B" w14:textId="6C84B51F" w:rsidR="002314D4" w:rsidRPr="00A955D8" w:rsidRDefault="002314D4" w:rsidP="002314D4">
            <w:pPr>
              <w:rPr>
                <w:rFonts w:cs="Arial"/>
                <w:b/>
                <w:bCs/>
              </w:rPr>
            </w:pPr>
            <w:r>
              <w:rPr>
                <w:rFonts w:cs="Arial"/>
                <w:b/>
                <w:bCs/>
              </w:rPr>
              <w:t xml:space="preserve">Table </w:t>
            </w:r>
            <w:r w:rsidR="004019F5">
              <w:rPr>
                <w:rFonts w:cs="Arial"/>
                <w:b/>
                <w:bCs/>
              </w:rPr>
              <w:t>3.1a</w:t>
            </w:r>
            <w:r>
              <w:rPr>
                <w:rFonts w:cs="Arial"/>
                <w:b/>
                <w:bCs/>
              </w:rPr>
              <w:t xml:space="preserve"> – Kitchen &amp; Bathrooms Units</w:t>
            </w:r>
          </w:p>
        </w:tc>
      </w:tr>
      <w:tr w:rsidR="00B00604" w:rsidRPr="002314D4" w14:paraId="1F159C83" w14:textId="77777777" w:rsidTr="00A955D8">
        <w:tc>
          <w:tcPr>
            <w:tcW w:w="1917" w:type="dxa"/>
            <w:tcBorders>
              <w:top w:val="single" w:sz="4" w:space="0" w:color="auto"/>
              <w:left w:val="single" w:sz="4" w:space="0" w:color="auto"/>
              <w:bottom w:val="single" w:sz="4" w:space="0" w:color="auto"/>
              <w:right w:val="single" w:sz="4" w:space="0" w:color="auto"/>
            </w:tcBorders>
          </w:tcPr>
          <w:p w14:paraId="3C68D835" w14:textId="77777777" w:rsidR="002314D4" w:rsidRDefault="002314D4" w:rsidP="004964E8">
            <w:pPr>
              <w:rPr>
                <w:rFonts w:cs="Arial"/>
                <w:b/>
                <w:bCs/>
                <w:sz w:val="20"/>
              </w:rPr>
            </w:pPr>
          </w:p>
          <w:p w14:paraId="1D3B4891" w14:textId="77777777" w:rsidR="002314D4" w:rsidRPr="00A955D8" w:rsidRDefault="002314D4" w:rsidP="004964E8">
            <w:pPr>
              <w:rPr>
                <w:rFonts w:cs="Arial"/>
                <w:b/>
                <w:bCs/>
                <w:sz w:val="20"/>
              </w:rPr>
            </w:pPr>
            <w:r w:rsidRPr="00A955D8">
              <w:rPr>
                <w:rFonts w:cs="Arial"/>
                <w:b/>
                <w:bCs/>
                <w:sz w:val="20"/>
              </w:rPr>
              <w:t>Elements</w:t>
            </w:r>
          </w:p>
        </w:tc>
        <w:tc>
          <w:tcPr>
            <w:tcW w:w="1394" w:type="dxa"/>
            <w:tcBorders>
              <w:top w:val="single" w:sz="4" w:space="0" w:color="auto"/>
              <w:left w:val="single" w:sz="4" w:space="0" w:color="auto"/>
              <w:bottom w:val="single" w:sz="4" w:space="0" w:color="auto"/>
              <w:right w:val="single" w:sz="4" w:space="0" w:color="auto"/>
            </w:tcBorders>
          </w:tcPr>
          <w:p w14:paraId="065B97F4" w14:textId="77777777" w:rsidR="002314D4" w:rsidRDefault="002314D4" w:rsidP="004964E8">
            <w:pPr>
              <w:jc w:val="center"/>
              <w:rPr>
                <w:rFonts w:cs="Arial"/>
                <w:b/>
                <w:bCs/>
                <w:sz w:val="20"/>
              </w:rPr>
            </w:pPr>
          </w:p>
          <w:p w14:paraId="02E124BD" w14:textId="77777777" w:rsidR="002314D4" w:rsidRPr="00A955D8" w:rsidRDefault="002314D4" w:rsidP="00A955D8">
            <w:pPr>
              <w:jc w:val="center"/>
              <w:rPr>
                <w:rFonts w:cs="Arial"/>
                <w:b/>
                <w:bCs/>
                <w:sz w:val="20"/>
              </w:rPr>
            </w:pPr>
            <w:r w:rsidRPr="00A955D8">
              <w:rPr>
                <w:rFonts w:cs="Arial"/>
                <w:b/>
                <w:bCs/>
                <w:sz w:val="20"/>
              </w:rPr>
              <w:t>2023/24</w:t>
            </w:r>
          </w:p>
        </w:tc>
        <w:tc>
          <w:tcPr>
            <w:tcW w:w="1395" w:type="dxa"/>
            <w:tcBorders>
              <w:top w:val="single" w:sz="4" w:space="0" w:color="auto"/>
              <w:left w:val="single" w:sz="4" w:space="0" w:color="auto"/>
              <w:bottom w:val="single" w:sz="4" w:space="0" w:color="auto"/>
              <w:right w:val="single" w:sz="4" w:space="0" w:color="auto"/>
            </w:tcBorders>
          </w:tcPr>
          <w:p w14:paraId="124B29E0" w14:textId="77777777" w:rsidR="002314D4" w:rsidRDefault="002314D4" w:rsidP="004964E8">
            <w:pPr>
              <w:jc w:val="center"/>
              <w:rPr>
                <w:rFonts w:cs="Arial"/>
                <w:b/>
                <w:bCs/>
                <w:sz w:val="20"/>
              </w:rPr>
            </w:pPr>
          </w:p>
          <w:p w14:paraId="6892273A" w14:textId="77777777" w:rsidR="002314D4" w:rsidRPr="00A955D8" w:rsidRDefault="002314D4" w:rsidP="00A955D8">
            <w:pPr>
              <w:jc w:val="center"/>
              <w:rPr>
                <w:rFonts w:cs="Arial"/>
                <w:b/>
                <w:bCs/>
                <w:sz w:val="20"/>
              </w:rPr>
            </w:pPr>
            <w:r w:rsidRPr="00A955D8">
              <w:rPr>
                <w:rFonts w:cs="Arial"/>
                <w:b/>
                <w:bCs/>
                <w:sz w:val="20"/>
              </w:rPr>
              <w:t>2024/25</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DD65" w14:textId="77777777" w:rsidR="002314D4" w:rsidRDefault="002314D4" w:rsidP="00A955D8">
            <w:pPr>
              <w:jc w:val="center"/>
              <w:rPr>
                <w:rFonts w:cs="Arial"/>
                <w:b/>
                <w:bCs/>
                <w:color w:val="000000"/>
                <w:sz w:val="20"/>
                <w:lang w:eastAsia="en-GB"/>
              </w:rPr>
            </w:pPr>
            <w:r w:rsidRPr="003A2FCA">
              <w:rPr>
                <w:rFonts w:cs="Arial"/>
                <w:b/>
                <w:bCs/>
                <w:color w:val="000000"/>
                <w:sz w:val="20"/>
                <w:lang w:eastAsia="en-GB"/>
              </w:rPr>
              <w:t>2-Year Programme</w:t>
            </w:r>
          </w:p>
          <w:p w14:paraId="44F55929" w14:textId="77777777" w:rsidR="002314D4" w:rsidRPr="00A955D8" w:rsidRDefault="002314D4" w:rsidP="00A955D8">
            <w:pPr>
              <w:jc w:val="center"/>
              <w:rPr>
                <w:rFonts w:cs="Arial"/>
                <w:b/>
                <w:bCs/>
                <w:sz w:val="20"/>
              </w:rPr>
            </w:pPr>
            <w:r>
              <w:rPr>
                <w:rFonts w:cs="Arial"/>
                <w:b/>
                <w:bCs/>
                <w:color w:val="000000"/>
                <w:sz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6A6233" w14:textId="77777777" w:rsidR="002314D4" w:rsidRPr="00A955D8" w:rsidRDefault="002314D4" w:rsidP="00A955D8">
            <w:pPr>
              <w:jc w:val="center"/>
              <w:rPr>
                <w:rFonts w:cs="Arial"/>
                <w:b/>
                <w:bCs/>
                <w:sz w:val="20"/>
              </w:rPr>
            </w:pPr>
            <w:r w:rsidRPr="00A955D8">
              <w:rPr>
                <w:rFonts w:cs="Arial"/>
                <w:b/>
                <w:bCs/>
                <w:sz w:val="20"/>
              </w:rPr>
              <w:t>Option to extend 2025/26</w:t>
            </w:r>
          </w:p>
        </w:tc>
      </w:tr>
      <w:tr w:rsidR="00B00604" w:rsidRPr="0019212C" w14:paraId="5F931CB9" w14:textId="77777777" w:rsidTr="00B00604">
        <w:tc>
          <w:tcPr>
            <w:tcW w:w="1917" w:type="dxa"/>
            <w:tcBorders>
              <w:top w:val="single" w:sz="4" w:space="0" w:color="auto"/>
              <w:left w:val="single" w:sz="4" w:space="0" w:color="auto"/>
              <w:bottom w:val="single" w:sz="4" w:space="0" w:color="auto"/>
              <w:right w:val="single" w:sz="4" w:space="0" w:color="auto"/>
            </w:tcBorders>
          </w:tcPr>
          <w:p w14:paraId="5C7BEC61" w14:textId="77777777" w:rsidR="002314D4" w:rsidRPr="00A955D8" w:rsidRDefault="002314D4" w:rsidP="004964E8">
            <w:pPr>
              <w:rPr>
                <w:rFonts w:cs="Arial"/>
                <w:b/>
                <w:bCs/>
              </w:rPr>
            </w:pPr>
            <w:r w:rsidRPr="00A955D8">
              <w:rPr>
                <w:rFonts w:cs="Arial"/>
                <w:b/>
                <w:bCs/>
              </w:rPr>
              <w:t>Kitchens</w:t>
            </w:r>
          </w:p>
        </w:tc>
        <w:tc>
          <w:tcPr>
            <w:tcW w:w="1394" w:type="dxa"/>
            <w:tcBorders>
              <w:top w:val="single" w:sz="4" w:space="0" w:color="auto"/>
              <w:left w:val="single" w:sz="4" w:space="0" w:color="auto"/>
              <w:bottom w:val="single" w:sz="4" w:space="0" w:color="auto"/>
              <w:right w:val="single" w:sz="4" w:space="0" w:color="auto"/>
            </w:tcBorders>
          </w:tcPr>
          <w:p w14:paraId="1928358F" w14:textId="2FBFEFE6" w:rsidR="002314D4" w:rsidRPr="0019212C" w:rsidRDefault="002314D4" w:rsidP="00A955D8">
            <w:pPr>
              <w:jc w:val="center"/>
              <w:rPr>
                <w:rFonts w:cs="Arial"/>
              </w:rPr>
            </w:pPr>
            <w:r>
              <w:rPr>
                <w:rFonts w:cs="Arial"/>
              </w:rPr>
              <w:t>5</w:t>
            </w:r>
            <w:r w:rsidR="004C13D1">
              <w:rPr>
                <w:rFonts w:cs="Arial"/>
              </w:rPr>
              <w:t>6</w:t>
            </w:r>
          </w:p>
        </w:tc>
        <w:tc>
          <w:tcPr>
            <w:tcW w:w="1395" w:type="dxa"/>
            <w:tcBorders>
              <w:top w:val="single" w:sz="4" w:space="0" w:color="auto"/>
              <w:left w:val="single" w:sz="4" w:space="0" w:color="auto"/>
              <w:bottom w:val="single" w:sz="4" w:space="0" w:color="auto"/>
              <w:right w:val="single" w:sz="4" w:space="0" w:color="auto"/>
            </w:tcBorders>
          </w:tcPr>
          <w:p w14:paraId="369B6D24" w14:textId="716316E7" w:rsidR="002314D4" w:rsidRPr="0019212C" w:rsidRDefault="004C13D1" w:rsidP="00A955D8">
            <w:pPr>
              <w:jc w:val="center"/>
              <w:rPr>
                <w:rFonts w:cs="Arial"/>
              </w:rPr>
            </w:pPr>
            <w:r>
              <w:rPr>
                <w:rFonts w:cs="Arial"/>
              </w:rPr>
              <w:t>103</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6CEC8" w14:textId="01729FA5" w:rsidR="002314D4" w:rsidRPr="0019212C" w:rsidRDefault="004C13D1" w:rsidP="00A955D8">
            <w:pPr>
              <w:jc w:val="center"/>
              <w:rPr>
                <w:rFonts w:cs="Arial"/>
              </w:rPr>
            </w:pPr>
            <w:r>
              <w:rPr>
                <w:rFonts w:cs="Arial"/>
              </w:rPr>
              <w:t>159</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773D3" w14:textId="25633D02" w:rsidR="002314D4" w:rsidRPr="0019212C" w:rsidRDefault="004C13D1" w:rsidP="00A955D8">
            <w:pPr>
              <w:jc w:val="center"/>
              <w:rPr>
                <w:rFonts w:cs="Arial"/>
              </w:rPr>
            </w:pPr>
            <w:r>
              <w:rPr>
                <w:rFonts w:cs="Arial"/>
              </w:rPr>
              <w:t>132</w:t>
            </w:r>
          </w:p>
        </w:tc>
      </w:tr>
      <w:tr w:rsidR="00B00604" w:rsidRPr="0019212C" w14:paraId="73A46244" w14:textId="77777777" w:rsidTr="00B00604">
        <w:tc>
          <w:tcPr>
            <w:tcW w:w="1917" w:type="dxa"/>
            <w:tcBorders>
              <w:top w:val="single" w:sz="4" w:space="0" w:color="auto"/>
              <w:left w:val="single" w:sz="4" w:space="0" w:color="auto"/>
              <w:bottom w:val="single" w:sz="4" w:space="0" w:color="auto"/>
              <w:right w:val="single" w:sz="4" w:space="0" w:color="auto"/>
            </w:tcBorders>
          </w:tcPr>
          <w:p w14:paraId="29C1D274" w14:textId="77777777" w:rsidR="002314D4" w:rsidRPr="00A955D8" w:rsidRDefault="002314D4" w:rsidP="004964E8">
            <w:pPr>
              <w:rPr>
                <w:rFonts w:cs="Arial"/>
                <w:b/>
                <w:bCs/>
              </w:rPr>
            </w:pPr>
            <w:r w:rsidRPr="00A955D8">
              <w:rPr>
                <w:rFonts w:cs="Arial"/>
                <w:b/>
                <w:bCs/>
              </w:rPr>
              <w:t>Bathrooms</w:t>
            </w:r>
          </w:p>
        </w:tc>
        <w:tc>
          <w:tcPr>
            <w:tcW w:w="1394" w:type="dxa"/>
            <w:tcBorders>
              <w:top w:val="single" w:sz="4" w:space="0" w:color="auto"/>
              <w:left w:val="single" w:sz="4" w:space="0" w:color="auto"/>
              <w:bottom w:val="single" w:sz="4" w:space="0" w:color="auto"/>
              <w:right w:val="single" w:sz="4" w:space="0" w:color="auto"/>
            </w:tcBorders>
          </w:tcPr>
          <w:p w14:paraId="0BB37F8A" w14:textId="6B2834D1" w:rsidR="002314D4" w:rsidRPr="0019212C" w:rsidRDefault="002314D4" w:rsidP="00A955D8">
            <w:pPr>
              <w:jc w:val="center"/>
              <w:rPr>
                <w:rFonts w:cs="Arial"/>
              </w:rPr>
            </w:pPr>
            <w:r>
              <w:rPr>
                <w:rFonts w:cs="Arial"/>
              </w:rPr>
              <w:t>5</w:t>
            </w:r>
            <w:r w:rsidR="004C13D1">
              <w:rPr>
                <w:rFonts w:cs="Arial"/>
              </w:rPr>
              <w:t>9</w:t>
            </w:r>
          </w:p>
        </w:tc>
        <w:tc>
          <w:tcPr>
            <w:tcW w:w="1395" w:type="dxa"/>
            <w:tcBorders>
              <w:top w:val="single" w:sz="4" w:space="0" w:color="auto"/>
              <w:left w:val="single" w:sz="4" w:space="0" w:color="auto"/>
              <w:bottom w:val="single" w:sz="4" w:space="0" w:color="auto"/>
              <w:right w:val="single" w:sz="4" w:space="0" w:color="auto"/>
            </w:tcBorders>
          </w:tcPr>
          <w:p w14:paraId="00308AFB" w14:textId="007F1906" w:rsidR="002314D4" w:rsidRPr="0019212C" w:rsidRDefault="006813F4" w:rsidP="00A955D8">
            <w:pPr>
              <w:jc w:val="center"/>
              <w:rPr>
                <w:rFonts w:cs="Arial"/>
              </w:rPr>
            </w:pPr>
            <w:r>
              <w:rPr>
                <w:rFonts w:cs="Arial"/>
              </w:rPr>
              <w:t>5</w:t>
            </w:r>
            <w:r w:rsidR="004C13D1">
              <w:rPr>
                <w:rFonts w:cs="Arial"/>
              </w:rPr>
              <w:t>3</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07B59" w14:textId="26EFA404" w:rsidR="002314D4" w:rsidRPr="0019212C" w:rsidRDefault="002314D4" w:rsidP="00A955D8">
            <w:pPr>
              <w:jc w:val="center"/>
              <w:rPr>
                <w:rFonts w:cs="Arial"/>
              </w:rPr>
            </w:pPr>
            <w:r>
              <w:rPr>
                <w:rFonts w:cs="Arial"/>
              </w:rPr>
              <w:t>1</w:t>
            </w:r>
            <w:r w:rsidR="004C13D1">
              <w:rPr>
                <w:rFonts w:cs="Arial"/>
              </w:rPr>
              <w:t>12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90010" w14:textId="52740711" w:rsidR="002314D4" w:rsidRPr="0019212C" w:rsidRDefault="004C13D1" w:rsidP="00A955D8">
            <w:pPr>
              <w:jc w:val="center"/>
              <w:rPr>
                <w:rFonts w:cs="Arial"/>
              </w:rPr>
            </w:pPr>
            <w:r>
              <w:rPr>
                <w:rFonts w:cs="Arial"/>
              </w:rPr>
              <w:t>51</w:t>
            </w:r>
          </w:p>
        </w:tc>
      </w:tr>
      <w:tr w:rsidR="00B00604" w:rsidRPr="0019212C" w14:paraId="2FCAB6EA" w14:textId="77777777" w:rsidTr="00B00604">
        <w:tc>
          <w:tcPr>
            <w:tcW w:w="1917" w:type="dxa"/>
            <w:tcBorders>
              <w:top w:val="single" w:sz="4" w:space="0" w:color="auto"/>
              <w:left w:val="single" w:sz="4" w:space="0" w:color="auto"/>
              <w:bottom w:val="single" w:sz="4" w:space="0" w:color="auto"/>
              <w:right w:val="single" w:sz="4" w:space="0" w:color="auto"/>
            </w:tcBorders>
          </w:tcPr>
          <w:p w14:paraId="045ABF98" w14:textId="7DDD143F" w:rsidR="002314D4" w:rsidRPr="00A955D8" w:rsidRDefault="002314D4" w:rsidP="004964E8">
            <w:pPr>
              <w:rPr>
                <w:rFonts w:cs="Arial"/>
                <w:b/>
                <w:bCs/>
              </w:rPr>
            </w:pPr>
            <w:r w:rsidRPr="00A955D8">
              <w:rPr>
                <w:rFonts w:cs="Arial"/>
                <w:b/>
                <w:bCs/>
              </w:rPr>
              <w:t>Separate WC</w:t>
            </w:r>
            <w:r w:rsidR="00B00604" w:rsidRPr="00A955D8">
              <w:rPr>
                <w:rFonts w:cs="Arial"/>
                <w:b/>
                <w:bCs/>
              </w:rPr>
              <w:t>s</w:t>
            </w:r>
          </w:p>
        </w:tc>
        <w:tc>
          <w:tcPr>
            <w:tcW w:w="1394" w:type="dxa"/>
            <w:tcBorders>
              <w:top w:val="single" w:sz="4" w:space="0" w:color="auto"/>
              <w:left w:val="single" w:sz="4" w:space="0" w:color="auto"/>
              <w:bottom w:val="single" w:sz="4" w:space="0" w:color="auto"/>
              <w:right w:val="single" w:sz="4" w:space="0" w:color="auto"/>
            </w:tcBorders>
          </w:tcPr>
          <w:p w14:paraId="2874EB7C" w14:textId="5B2BA446" w:rsidR="002314D4" w:rsidRPr="0019212C" w:rsidRDefault="004C13D1" w:rsidP="00A955D8">
            <w:pPr>
              <w:jc w:val="center"/>
              <w:rPr>
                <w:rFonts w:cs="Arial"/>
              </w:rPr>
            </w:pPr>
            <w:r>
              <w:rPr>
                <w:rFonts w:cs="Arial"/>
              </w:rPr>
              <w:t>31</w:t>
            </w:r>
          </w:p>
        </w:tc>
        <w:tc>
          <w:tcPr>
            <w:tcW w:w="1395" w:type="dxa"/>
            <w:tcBorders>
              <w:top w:val="single" w:sz="4" w:space="0" w:color="auto"/>
              <w:left w:val="single" w:sz="4" w:space="0" w:color="auto"/>
              <w:bottom w:val="single" w:sz="4" w:space="0" w:color="auto"/>
              <w:right w:val="single" w:sz="4" w:space="0" w:color="auto"/>
            </w:tcBorders>
          </w:tcPr>
          <w:p w14:paraId="287AAF8B" w14:textId="3449F59C" w:rsidR="002314D4" w:rsidRPr="0019212C" w:rsidRDefault="004C13D1" w:rsidP="00A955D8">
            <w:pPr>
              <w:jc w:val="center"/>
              <w:rPr>
                <w:rFonts w:cs="Arial"/>
              </w:rPr>
            </w:pPr>
            <w:r>
              <w:rPr>
                <w:rFonts w:cs="Arial"/>
              </w:rPr>
              <w:t>70</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AD2384" w14:textId="146035E5" w:rsidR="002314D4" w:rsidRPr="0019212C" w:rsidRDefault="004C13D1" w:rsidP="00A955D8">
            <w:pPr>
              <w:jc w:val="center"/>
              <w:rPr>
                <w:rFonts w:cs="Arial"/>
              </w:rPr>
            </w:pPr>
            <w:r>
              <w:rPr>
                <w:rFonts w:cs="Arial"/>
              </w:rPr>
              <w:t>101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84562" w14:textId="4A004BF6" w:rsidR="002314D4" w:rsidRPr="0019212C" w:rsidRDefault="004C13D1" w:rsidP="00A955D8">
            <w:pPr>
              <w:jc w:val="center"/>
              <w:rPr>
                <w:rFonts w:cs="Arial"/>
              </w:rPr>
            </w:pPr>
            <w:r>
              <w:rPr>
                <w:rFonts w:cs="Arial"/>
              </w:rPr>
              <w:t>31</w:t>
            </w:r>
          </w:p>
        </w:tc>
      </w:tr>
      <w:tr w:rsidR="00B00604" w:rsidRPr="008009D6" w14:paraId="6F9A27F9" w14:textId="77777777" w:rsidTr="00B00604">
        <w:trPr>
          <w:trHeight w:val="406"/>
        </w:trPr>
        <w:tc>
          <w:tcPr>
            <w:tcW w:w="1917" w:type="dxa"/>
            <w:tcBorders>
              <w:top w:val="single" w:sz="4" w:space="0" w:color="auto"/>
              <w:left w:val="single" w:sz="4" w:space="0" w:color="auto"/>
              <w:bottom w:val="single" w:sz="4" w:space="0" w:color="auto"/>
              <w:right w:val="single" w:sz="4" w:space="0" w:color="auto"/>
            </w:tcBorders>
          </w:tcPr>
          <w:p w14:paraId="0ED80195" w14:textId="77777777" w:rsidR="002314D4" w:rsidRPr="00A955D8" w:rsidRDefault="002314D4" w:rsidP="004964E8">
            <w:pPr>
              <w:rPr>
                <w:rFonts w:cs="Arial"/>
                <w:b/>
                <w:bCs/>
              </w:rPr>
            </w:pPr>
            <w:r>
              <w:rPr>
                <w:rFonts w:cs="Arial"/>
                <w:b/>
                <w:bCs/>
              </w:rPr>
              <w:t>Total Units</w:t>
            </w:r>
          </w:p>
        </w:tc>
        <w:tc>
          <w:tcPr>
            <w:tcW w:w="1394" w:type="dxa"/>
            <w:tcBorders>
              <w:top w:val="single" w:sz="4" w:space="0" w:color="auto"/>
              <w:left w:val="single" w:sz="4" w:space="0" w:color="auto"/>
              <w:bottom w:val="single" w:sz="4" w:space="0" w:color="auto"/>
              <w:right w:val="single" w:sz="4" w:space="0" w:color="auto"/>
            </w:tcBorders>
          </w:tcPr>
          <w:p w14:paraId="0FC16B0D" w14:textId="242A3DF4" w:rsidR="002314D4" w:rsidRPr="00A955D8" w:rsidRDefault="002314D4" w:rsidP="00A955D8">
            <w:pPr>
              <w:jc w:val="center"/>
              <w:rPr>
                <w:rFonts w:cs="Arial"/>
                <w:b/>
                <w:bCs/>
              </w:rPr>
            </w:pPr>
            <w:r>
              <w:rPr>
                <w:rFonts w:cs="Arial"/>
                <w:b/>
                <w:bCs/>
              </w:rPr>
              <w:t>1</w:t>
            </w:r>
            <w:r w:rsidR="004C13D1">
              <w:rPr>
                <w:rFonts w:cs="Arial"/>
                <w:b/>
                <w:bCs/>
              </w:rPr>
              <w:t>46</w:t>
            </w:r>
          </w:p>
        </w:tc>
        <w:tc>
          <w:tcPr>
            <w:tcW w:w="1395" w:type="dxa"/>
            <w:tcBorders>
              <w:top w:val="single" w:sz="4" w:space="0" w:color="auto"/>
              <w:left w:val="single" w:sz="4" w:space="0" w:color="auto"/>
              <w:bottom w:val="single" w:sz="4" w:space="0" w:color="auto"/>
              <w:right w:val="single" w:sz="4" w:space="0" w:color="auto"/>
            </w:tcBorders>
          </w:tcPr>
          <w:p w14:paraId="0A3494DD" w14:textId="039780FA" w:rsidR="002314D4" w:rsidRPr="00A955D8" w:rsidRDefault="004C13D1" w:rsidP="00A955D8">
            <w:pPr>
              <w:jc w:val="center"/>
              <w:rPr>
                <w:rFonts w:cs="Arial"/>
                <w:b/>
                <w:bCs/>
              </w:rPr>
            </w:pPr>
            <w:r>
              <w:rPr>
                <w:rFonts w:cs="Arial"/>
                <w:b/>
                <w:bCs/>
              </w:rPr>
              <w:t>226</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3F8C2C" w14:textId="198DFC75" w:rsidR="002314D4" w:rsidRPr="00A955D8" w:rsidRDefault="004C13D1" w:rsidP="00A955D8">
            <w:pPr>
              <w:jc w:val="center"/>
              <w:rPr>
                <w:rFonts w:cs="Arial"/>
                <w:b/>
                <w:bCs/>
              </w:rPr>
            </w:pPr>
            <w:r>
              <w:rPr>
                <w:rFonts w:cs="Arial"/>
                <w:b/>
                <w:bCs/>
              </w:rPr>
              <w:t>372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13C12" w14:textId="771AD2EB" w:rsidR="002314D4" w:rsidRPr="00A955D8" w:rsidRDefault="004C13D1" w:rsidP="00A955D8">
            <w:pPr>
              <w:jc w:val="center"/>
              <w:rPr>
                <w:rFonts w:cs="Arial"/>
                <w:b/>
                <w:bCs/>
              </w:rPr>
            </w:pPr>
            <w:r>
              <w:rPr>
                <w:rFonts w:cs="Arial"/>
                <w:b/>
                <w:bCs/>
              </w:rPr>
              <w:t>214</w:t>
            </w:r>
          </w:p>
        </w:tc>
      </w:tr>
    </w:tbl>
    <w:p w14:paraId="0B6A9B26" w14:textId="168CBB50" w:rsidR="002314D4" w:rsidRDefault="002314D4" w:rsidP="00640845">
      <w:pPr>
        <w:jc w:val="both"/>
      </w:pPr>
    </w:p>
    <w:p w14:paraId="2876E5A1" w14:textId="17CA6B01" w:rsidR="00416528" w:rsidRDefault="004019F5" w:rsidP="00F22043">
      <w:pPr>
        <w:ind w:left="720" w:hanging="720"/>
        <w:jc w:val="both"/>
      </w:pPr>
      <w:r>
        <w:t>3.</w:t>
      </w:r>
      <w:r w:rsidR="007A0650">
        <w:t>3</w:t>
      </w:r>
      <w:r w:rsidR="00E77A4B">
        <w:tab/>
        <w:t>The kitchen upgrade will be using Symphony kitchen</w:t>
      </w:r>
      <w:r w:rsidR="006E2CC1">
        <w:t>s, w</w:t>
      </w:r>
      <w:r w:rsidR="00870EDB">
        <w:t xml:space="preserve">ho we have been in a </w:t>
      </w:r>
      <w:r w:rsidR="0050386F">
        <w:t>successful</w:t>
      </w:r>
      <w:r w:rsidR="00870EDB">
        <w:t xml:space="preserve"> partnership</w:t>
      </w:r>
      <w:r w:rsidR="006E2CC1">
        <w:t xml:space="preserve"> for over 10 years</w:t>
      </w:r>
      <w:r w:rsidR="00870EDB">
        <w:t xml:space="preserve"> through</w:t>
      </w:r>
      <w:r w:rsidR="006E2CC1">
        <w:t xml:space="preserve"> the</w:t>
      </w:r>
      <w:r w:rsidR="00E079FF">
        <w:t xml:space="preserve"> LHC</w:t>
      </w:r>
      <w:r w:rsidR="006E2CC1">
        <w:t xml:space="preserve"> Framework</w:t>
      </w:r>
      <w:r w:rsidR="00E079FF">
        <w:t xml:space="preserve">. They provide one of the highest specifications which </w:t>
      </w:r>
      <w:r w:rsidR="006E2CC1">
        <w:t xml:space="preserve">include options </w:t>
      </w:r>
      <w:r w:rsidR="00E079FF">
        <w:t xml:space="preserve">such as larder units </w:t>
      </w:r>
      <w:r w:rsidR="0050386F">
        <w:t>to residents</w:t>
      </w:r>
      <w:r w:rsidR="00873784">
        <w:t xml:space="preserve">. They also take part in resident consultation open days where resident can come and pre-select their kitchen </w:t>
      </w:r>
      <w:r w:rsidR="000B7B0E">
        <w:t>choices &amp; colours and book their surveys.</w:t>
      </w:r>
    </w:p>
    <w:p w14:paraId="0E6DBD95" w14:textId="77777777" w:rsidR="003819EB" w:rsidRDefault="003819EB" w:rsidP="00640845">
      <w:pPr>
        <w:jc w:val="both"/>
      </w:pPr>
    </w:p>
    <w:p w14:paraId="36269D2F" w14:textId="4B77B10C" w:rsidR="003819EB" w:rsidRDefault="004019F5" w:rsidP="004017E7">
      <w:pPr>
        <w:ind w:left="720" w:hanging="720"/>
        <w:jc w:val="both"/>
      </w:pPr>
      <w:r>
        <w:t>3.</w:t>
      </w:r>
      <w:r w:rsidR="007A0650">
        <w:t>4</w:t>
      </w:r>
      <w:r w:rsidR="003819EB">
        <w:tab/>
      </w:r>
      <w:r w:rsidR="000B7B0E">
        <w:t xml:space="preserve">Besides bringing </w:t>
      </w:r>
      <w:r w:rsidR="00D8481F">
        <w:t>our homes to surpassing the Decent Homes Standard, t</w:t>
      </w:r>
      <w:r w:rsidR="000B7B0E">
        <w:t>he added benefits to carrying out</w:t>
      </w:r>
      <w:r w:rsidR="00D8481F">
        <w:t xml:space="preserve"> Kitchen &amp; Ba</w:t>
      </w:r>
      <w:r w:rsidR="009B6F12">
        <w:t>throom refurbishments is that residents</w:t>
      </w:r>
      <w:r w:rsidR="009D32A8">
        <w:t xml:space="preserve"> are identified that may need</w:t>
      </w:r>
      <w:r w:rsidR="008A1BC5">
        <w:t xml:space="preserve"> a shower instead of a bath at consultation Referrals are the</w:t>
      </w:r>
      <w:r w:rsidR="00196EA8">
        <w:t>n made to our A</w:t>
      </w:r>
      <w:r w:rsidR="003819EB">
        <w:t xml:space="preserve">daptations </w:t>
      </w:r>
      <w:r w:rsidR="00196EA8">
        <w:t>Team</w:t>
      </w:r>
      <w:r w:rsidR="003819EB">
        <w:t xml:space="preserve">. </w:t>
      </w:r>
      <w:r w:rsidR="00196EA8">
        <w:t>The K</w:t>
      </w:r>
      <w:r w:rsidR="003819EB">
        <w:t>itchen</w:t>
      </w:r>
      <w:r w:rsidR="00196EA8">
        <w:t xml:space="preserve"> &amp; Bathroom</w:t>
      </w:r>
      <w:r w:rsidR="003819EB">
        <w:t xml:space="preserve"> programm</w:t>
      </w:r>
      <w:r w:rsidR="00F65021">
        <w:t>e</w:t>
      </w:r>
      <w:r w:rsidR="003819EB">
        <w:t xml:space="preserve"> will also involve </w:t>
      </w:r>
      <w:r w:rsidR="00196EA8">
        <w:t>electrical testing</w:t>
      </w:r>
      <w:r w:rsidR="00D00ED6">
        <w:t xml:space="preserve"> which will </w:t>
      </w:r>
      <w:r w:rsidR="003819EB">
        <w:t xml:space="preserve">supplement </w:t>
      </w:r>
      <w:r w:rsidR="00783094">
        <w:t xml:space="preserve">our EICR </w:t>
      </w:r>
      <w:r w:rsidR="00D711A1">
        <w:t xml:space="preserve">(Electrical Installation Condition Report) </w:t>
      </w:r>
      <w:r w:rsidR="00783094">
        <w:t>programme following the notice from the Regulator of Social Housing in March 2023</w:t>
      </w:r>
      <w:r w:rsidR="00D00ED6">
        <w:t>.</w:t>
      </w:r>
    </w:p>
    <w:p w14:paraId="662C200A" w14:textId="252AFA53" w:rsidR="003A2FCA" w:rsidRDefault="00965CD9" w:rsidP="00640845">
      <w:pPr>
        <w:jc w:val="both"/>
      </w:pPr>
      <w:r>
        <w:tab/>
      </w:r>
    </w:p>
    <w:p w14:paraId="05203E2B" w14:textId="49CFEF3A" w:rsidR="00965CD9" w:rsidRPr="00037B7F" w:rsidRDefault="004019F5" w:rsidP="00640845">
      <w:pPr>
        <w:jc w:val="both"/>
        <w:rPr>
          <w:b/>
          <w:bCs/>
          <w:u w:val="single"/>
        </w:rPr>
      </w:pPr>
      <w:r>
        <w:t>3.</w:t>
      </w:r>
      <w:r w:rsidR="007A0650">
        <w:t>5</w:t>
      </w:r>
      <w:r w:rsidR="00965CD9">
        <w:tab/>
      </w:r>
      <w:r w:rsidR="00965CD9" w:rsidRPr="00037B7F">
        <w:rPr>
          <w:b/>
          <w:bCs/>
          <w:u w:val="single"/>
        </w:rPr>
        <w:t>Windows and doors</w:t>
      </w:r>
    </w:p>
    <w:p w14:paraId="3EEFF821" w14:textId="77777777" w:rsidR="007A0650" w:rsidRDefault="00AE6370" w:rsidP="007A0650">
      <w:pPr>
        <w:ind w:left="709" w:hanging="709"/>
        <w:jc w:val="both"/>
      </w:pPr>
      <w:r>
        <w:tab/>
      </w:r>
      <w:r w:rsidR="00965CD9">
        <w:t>As they are all tenanted properties</w:t>
      </w:r>
      <w:r w:rsidR="00965CD9" w:rsidDel="000F0D84">
        <w:t xml:space="preserve"> </w:t>
      </w:r>
      <w:r w:rsidR="00965CD9">
        <w:t xml:space="preserve">none of the properties on these programmes are subject to Section 20 </w:t>
      </w:r>
      <w:r w:rsidR="007A0650">
        <w:t>of Landlord &amp; Tenant Act 1985 (as amended) processes.</w:t>
      </w:r>
    </w:p>
    <w:p w14:paraId="64C95AAF" w14:textId="4919640E" w:rsidR="00965CD9" w:rsidRDefault="00965CD9" w:rsidP="00965CD9">
      <w:pPr>
        <w:ind w:left="720" w:hanging="720"/>
        <w:jc w:val="both"/>
      </w:pPr>
      <w:r>
        <w:t>.</w:t>
      </w:r>
    </w:p>
    <w:p w14:paraId="36166490" w14:textId="4772BF56" w:rsidR="00760E3E" w:rsidRDefault="007A0650" w:rsidP="003122E4">
      <w:pPr>
        <w:ind w:left="720" w:hanging="720"/>
        <w:jc w:val="both"/>
      </w:pPr>
      <w:r>
        <w:t>3.6</w:t>
      </w:r>
      <w:r>
        <w:rPr>
          <w:rFonts w:cs="Arial"/>
        </w:rPr>
        <w:t xml:space="preserve"> </w:t>
      </w:r>
      <w:r>
        <w:rPr>
          <w:rFonts w:cs="Arial"/>
        </w:rPr>
        <w:tab/>
      </w:r>
      <w:r w:rsidR="00965CD9" w:rsidRPr="002238DE">
        <w:rPr>
          <w:rFonts w:cs="Arial"/>
        </w:rPr>
        <w:t xml:space="preserve">The aim of Windows and Doors </w:t>
      </w:r>
      <w:r w:rsidR="00965CD9">
        <w:rPr>
          <w:rFonts w:cs="Arial"/>
        </w:rPr>
        <w:t xml:space="preserve">renewal programme </w:t>
      </w:r>
      <w:r w:rsidR="00760E3E">
        <w:rPr>
          <w:rFonts w:cs="Arial"/>
        </w:rPr>
        <w:t>is to increase</w:t>
      </w:r>
      <w:r w:rsidR="00965CD9">
        <w:rPr>
          <w:rFonts w:cs="Arial"/>
        </w:rPr>
        <w:t xml:space="preserve"> </w:t>
      </w:r>
      <w:r w:rsidR="00760E3E">
        <w:rPr>
          <w:rFonts w:cs="Arial"/>
        </w:rPr>
        <w:t xml:space="preserve">the </w:t>
      </w:r>
      <w:r w:rsidR="00965CD9">
        <w:rPr>
          <w:rFonts w:cs="Arial"/>
        </w:rPr>
        <w:t xml:space="preserve">energy </w:t>
      </w:r>
      <w:r w:rsidR="00760E3E">
        <w:rPr>
          <w:rFonts w:cs="Arial"/>
        </w:rPr>
        <w:t>efficiency</w:t>
      </w:r>
      <w:r w:rsidR="00965CD9">
        <w:rPr>
          <w:rFonts w:cs="Arial"/>
        </w:rPr>
        <w:t xml:space="preserve"> </w:t>
      </w:r>
      <w:r w:rsidR="00760E3E">
        <w:rPr>
          <w:rFonts w:cs="Arial"/>
        </w:rPr>
        <w:t xml:space="preserve">of our homes </w:t>
      </w:r>
      <w:r w:rsidR="00965CD9">
        <w:rPr>
          <w:rFonts w:cs="Arial"/>
        </w:rPr>
        <w:t>and lower fuel bills for our residents along with better security.</w:t>
      </w:r>
      <w:r w:rsidR="00965CD9" w:rsidRPr="002238DE">
        <w:rPr>
          <w:rFonts w:cs="Arial"/>
        </w:rPr>
        <w:t xml:space="preserve"> </w:t>
      </w:r>
      <w:r w:rsidR="00760E3E">
        <w:t xml:space="preserve">We have a fully validated stocklist of </w:t>
      </w:r>
      <w:r w:rsidR="00FD6BC6">
        <w:t xml:space="preserve">440 </w:t>
      </w:r>
      <w:r w:rsidR="00760E3E">
        <w:t xml:space="preserve">properties over the next 2 years with a further circa </w:t>
      </w:r>
      <w:r w:rsidR="00FD6BC6">
        <w:t xml:space="preserve">250 </w:t>
      </w:r>
      <w:r w:rsidR="00760E3E">
        <w:t xml:space="preserve">properties in year 3. </w:t>
      </w:r>
    </w:p>
    <w:p w14:paraId="76B6BFD6" w14:textId="15A8DF5E" w:rsidR="00B00604" w:rsidRDefault="00B00604" w:rsidP="00760E3E">
      <w:pPr>
        <w:ind w:left="720"/>
      </w:pPr>
    </w:p>
    <w:p w14:paraId="0A8DE37B" w14:textId="77777777" w:rsidR="009A725D" w:rsidRDefault="009A725D" w:rsidP="00760E3E">
      <w:pPr>
        <w:ind w:left="720"/>
      </w:pPr>
    </w:p>
    <w:p w14:paraId="085B2D66" w14:textId="77777777" w:rsidR="00817330" w:rsidRDefault="00817330" w:rsidP="00760E3E">
      <w:pPr>
        <w:ind w:left="720"/>
      </w:pPr>
    </w:p>
    <w:tbl>
      <w:tblPr>
        <w:tblStyle w:val="TableGrid"/>
        <w:tblW w:w="7610" w:type="dxa"/>
        <w:tblInd w:w="607" w:type="dxa"/>
        <w:tblLayout w:type="fixed"/>
        <w:tblLook w:val="04A0" w:firstRow="1" w:lastRow="0" w:firstColumn="1" w:lastColumn="0" w:noHBand="0" w:noVBand="1"/>
      </w:tblPr>
      <w:tblGrid>
        <w:gridCol w:w="2649"/>
        <w:gridCol w:w="1275"/>
        <w:gridCol w:w="1134"/>
        <w:gridCol w:w="1418"/>
        <w:gridCol w:w="1134"/>
      </w:tblGrid>
      <w:tr w:rsidR="00B00604" w:rsidRPr="004964E8" w14:paraId="38EC31EB" w14:textId="77777777" w:rsidTr="003122E4">
        <w:trPr>
          <w:trHeight w:val="433"/>
        </w:trPr>
        <w:tc>
          <w:tcPr>
            <w:tcW w:w="761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EB5362C" w14:textId="76A019F5" w:rsidR="00B00604" w:rsidRPr="004964E8" w:rsidRDefault="00B00604" w:rsidP="004964E8">
            <w:pPr>
              <w:rPr>
                <w:rFonts w:cs="Arial"/>
                <w:b/>
                <w:bCs/>
              </w:rPr>
            </w:pPr>
            <w:r>
              <w:rPr>
                <w:rFonts w:cs="Arial"/>
                <w:b/>
                <w:bCs/>
              </w:rPr>
              <w:lastRenderedPageBreak/>
              <w:t xml:space="preserve">Table </w:t>
            </w:r>
            <w:r w:rsidR="007A0650">
              <w:rPr>
                <w:rFonts w:cs="Arial"/>
                <w:b/>
                <w:bCs/>
              </w:rPr>
              <w:t xml:space="preserve">3.6a </w:t>
            </w:r>
            <w:r>
              <w:rPr>
                <w:rFonts w:cs="Arial"/>
                <w:b/>
                <w:bCs/>
              </w:rPr>
              <w:t>– Windows &amp; Doors Units</w:t>
            </w:r>
          </w:p>
        </w:tc>
      </w:tr>
      <w:tr w:rsidR="007A0650" w:rsidRPr="004964E8" w14:paraId="7D5C3C45" w14:textId="77777777" w:rsidTr="003122E4">
        <w:tc>
          <w:tcPr>
            <w:tcW w:w="2649" w:type="dxa"/>
            <w:tcBorders>
              <w:top w:val="single" w:sz="4" w:space="0" w:color="auto"/>
              <w:left w:val="single" w:sz="4" w:space="0" w:color="auto"/>
              <w:bottom w:val="single" w:sz="4" w:space="0" w:color="auto"/>
              <w:right w:val="single" w:sz="4" w:space="0" w:color="auto"/>
            </w:tcBorders>
          </w:tcPr>
          <w:p w14:paraId="5843C8A1" w14:textId="77777777" w:rsidR="00B00604" w:rsidRDefault="00B00604" w:rsidP="004964E8">
            <w:pPr>
              <w:rPr>
                <w:rFonts w:cs="Arial"/>
                <w:b/>
                <w:bCs/>
                <w:sz w:val="20"/>
              </w:rPr>
            </w:pPr>
          </w:p>
          <w:p w14:paraId="3B74B489" w14:textId="77777777" w:rsidR="00B00604" w:rsidRPr="004964E8" w:rsidRDefault="00B00604" w:rsidP="004964E8">
            <w:pPr>
              <w:rPr>
                <w:rFonts w:cs="Arial"/>
                <w:b/>
                <w:bCs/>
                <w:sz w:val="20"/>
              </w:rPr>
            </w:pPr>
            <w:r w:rsidRPr="004964E8">
              <w:rPr>
                <w:rFonts w:cs="Arial"/>
                <w:b/>
                <w:bCs/>
                <w:sz w:val="20"/>
              </w:rPr>
              <w:t>Elements</w:t>
            </w:r>
          </w:p>
        </w:tc>
        <w:tc>
          <w:tcPr>
            <w:tcW w:w="1275" w:type="dxa"/>
            <w:tcBorders>
              <w:top w:val="single" w:sz="4" w:space="0" w:color="auto"/>
              <w:left w:val="single" w:sz="4" w:space="0" w:color="auto"/>
              <w:bottom w:val="single" w:sz="4" w:space="0" w:color="auto"/>
              <w:right w:val="single" w:sz="4" w:space="0" w:color="auto"/>
            </w:tcBorders>
          </w:tcPr>
          <w:p w14:paraId="073EC2C4" w14:textId="77777777" w:rsidR="00B00604" w:rsidRDefault="00B00604" w:rsidP="004964E8">
            <w:pPr>
              <w:jc w:val="center"/>
              <w:rPr>
                <w:rFonts w:cs="Arial"/>
                <w:b/>
                <w:bCs/>
                <w:sz w:val="20"/>
              </w:rPr>
            </w:pPr>
          </w:p>
          <w:p w14:paraId="0DC28843" w14:textId="77777777" w:rsidR="00B00604" w:rsidRPr="004964E8" w:rsidRDefault="00B00604" w:rsidP="004964E8">
            <w:pPr>
              <w:jc w:val="center"/>
              <w:rPr>
                <w:rFonts w:cs="Arial"/>
                <w:b/>
                <w:bCs/>
                <w:sz w:val="20"/>
              </w:rPr>
            </w:pPr>
            <w:r w:rsidRPr="004964E8">
              <w:rPr>
                <w:rFonts w:cs="Arial"/>
                <w:b/>
                <w:bCs/>
                <w:sz w:val="20"/>
              </w:rPr>
              <w:t>2023/24</w:t>
            </w:r>
          </w:p>
        </w:tc>
        <w:tc>
          <w:tcPr>
            <w:tcW w:w="1134" w:type="dxa"/>
            <w:tcBorders>
              <w:top w:val="single" w:sz="4" w:space="0" w:color="auto"/>
              <w:left w:val="single" w:sz="4" w:space="0" w:color="auto"/>
              <w:bottom w:val="single" w:sz="4" w:space="0" w:color="auto"/>
              <w:right w:val="single" w:sz="4" w:space="0" w:color="auto"/>
            </w:tcBorders>
          </w:tcPr>
          <w:p w14:paraId="7AF22882" w14:textId="77777777" w:rsidR="00B00604" w:rsidRDefault="00B00604" w:rsidP="004964E8">
            <w:pPr>
              <w:jc w:val="center"/>
              <w:rPr>
                <w:rFonts w:cs="Arial"/>
                <w:b/>
                <w:bCs/>
                <w:sz w:val="20"/>
              </w:rPr>
            </w:pPr>
          </w:p>
          <w:p w14:paraId="37090FF1" w14:textId="77777777" w:rsidR="00B00604" w:rsidRPr="004964E8" w:rsidRDefault="00B00604" w:rsidP="004964E8">
            <w:pPr>
              <w:jc w:val="center"/>
              <w:rPr>
                <w:rFonts w:cs="Arial"/>
                <w:b/>
                <w:bCs/>
                <w:sz w:val="20"/>
              </w:rPr>
            </w:pPr>
            <w:r w:rsidRPr="004964E8">
              <w:rPr>
                <w:rFonts w:cs="Arial"/>
                <w:b/>
                <w:bCs/>
                <w:sz w:val="20"/>
              </w:rPr>
              <w:t>2024/25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B56F2F" w14:textId="77777777" w:rsidR="00B00604" w:rsidRDefault="00B00604" w:rsidP="004964E8">
            <w:pPr>
              <w:jc w:val="center"/>
              <w:rPr>
                <w:rFonts w:cs="Arial"/>
                <w:b/>
                <w:bCs/>
                <w:color w:val="000000"/>
                <w:sz w:val="20"/>
                <w:lang w:eastAsia="en-GB"/>
              </w:rPr>
            </w:pPr>
            <w:r w:rsidRPr="003A2FCA">
              <w:rPr>
                <w:rFonts w:cs="Arial"/>
                <w:b/>
                <w:bCs/>
                <w:color w:val="000000"/>
                <w:sz w:val="20"/>
                <w:lang w:eastAsia="en-GB"/>
              </w:rPr>
              <w:t>2-Year Programme</w:t>
            </w:r>
          </w:p>
          <w:p w14:paraId="587747B9" w14:textId="77777777" w:rsidR="00B00604" w:rsidRPr="004964E8" w:rsidRDefault="00B00604" w:rsidP="004964E8">
            <w:pPr>
              <w:jc w:val="center"/>
              <w:rPr>
                <w:rFonts w:cs="Arial"/>
                <w:b/>
                <w:bCs/>
                <w:sz w:val="20"/>
              </w:rPr>
            </w:pPr>
            <w:r>
              <w:rPr>
                <w:rFonts w:cs="Arial"/>
                <w:b/>
                <w:bCs/>
                <w:color w:val="000000"/>
                <w:sz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7628A" w14:textId="77777777" w:rsidR="00B00604" w:rsidRPr="004964E8" w:rsidRDefault="00B00604" w:rsidP="004964E8">
            <w:pPr>
              <w:jc w:val="center"/>
              <w:rPr>
                <w:rFonts w:cs="Arial"/>
                <w:b/>
                <w:bCs/>
                <w:sz w:val="20"/>
              </w:rPr>
            </w:pPr>
            <w:r w:rsidRPr="004964E8">
              <w:rPr>
                <w:rFonts w:cs="Arial"/>
                <w:b/>
                <w:bCs/>
                <w:sz w:val="20"/>
              </w:rPr>
              <w:t>Option to extend 2025/26</w:t>
            </w:r>
          </w:p>
        </w:tc>
      </w:tr>
      <w:tr w:rsidR="007A0650" w:rsidRPr="0019212C" w14:paraId="30AA7CF6" w14:textId="77777777" w:rsidTr="003122E4">
        <w:tc>
          <w:tcPr>
            <w:tcW w:w="2649" w:type="dxa"/>
            <w:tcBorders>
              <w:top w:val="single" w:sz="4" w:space="0" w:color="auto"/>
              <w:left w:val="single" w:sz="4" w:space="0" w:color="auto"/>
              <w:bottom w:val="single" w:sz="4" w:space="0" w:color="auto"/>
              <w:right w:val="single" w:sz="4" w:space="0" w:color="auto"/>
            </w:tcBorders>
          </w:tcPr>
          <w:p w14:paraId="568111E2" w14:textId="04382A94" w:rsidR="00FD6BC6" w:rsidRPr="0020025E" w:rsidRDefault="00DF41D8" w:rsidP="004964E8">
            <w:pPr>
              <w:rPr>
                <w:rFonts w:cs="Arial"/>
                <w:sz w:val="22"/>
                <w:szCs w:val="22"/>
              </w:rPr>
            </w:pPr>
            <w:r w:rsidRPr="003122E4">
              <w:rPr>
                <w:rFonts w:cs="Arial"/>
                <w:b/>
                <w:bCs/>
                <w:sz w:val="22"/>
                <w:szCs w:val="22"/>
              </w:rPr>
              <w:t>Window &amp; Door Programme</w:t>
            </w:r>
            <w:r w:rsidR="00FD6BC6">
              <w:rPr>
                <w:rFonts w:cs="Arial"/>
                <w:b/>
                <w:bCs/>
                <w:sz w:val="22"/>
                <w:szCs w:val="22"/>
              </w:rPr>
              <w:t xml:space="preserve"> </w:t>
            </w:r>
            <w:r w:rsidR="00521940">
              <w:rPr>
                <w:rFonts w:cs="Arial"/>
                <w:b/>
                <w:bCs/>
                <w:sz w:val="22"/>
                <w:szCs w:val="22"/>
              </w:rPr>
              <w:t>-</w:t>
            </w:r>
            <w:r w:rsidR="00521940">
              <w:rPr>
                <w:rFonts w:cs="Arial"/>
                <w:sz w:val="22"/>
                <w:szCs w:val="22"/>
              </w:rPr>
              <w:t xml:space="preserve">Including properties on the SHDF Decarbonization Fund programme </w:t>
            </w:r>
          </w:p>
        </w:tc>
        <w:tc>
          <w:tcPr>
            <w:tcW w:w="1275" w:type="dxa"/>
            <w:tcBorders>
              <w:top w:val="single" w:sz="4" w:space="0" w:color="auto"/>
              <w:left w:val="single" w:sz="4" w:space="0" w:color="auto"/>
              <w:bottom w:val="single" w:sz="4" w:space="0" w:color="auto"/>
              <w:right w:val="single" w:sz="4" w:space="0" w:color="auto"/>
            </w:tcBorders>
          </w:tcPr>
          <w:p w14:paraId="3097FDD1" w14:textId="3378D335" w:rsidR="00B00604" w:rsidRPr="0019212C" w:rsidRDefault="007A0650" w:rsidP="004964E8">
            <w:pPr>
              <w:jc w:val="center"/>
              <w:rPr>
                <w:rFonts w:cs="Arial"/>
              </w:rPr>
            </w:pPr>
            <w:r>
              <w:rPr>
                <w:rFonts w:cs="Arial"/>
              </w:rPr>
              <w:t>190</w:t>
            </w:r>
          </w:p>
        </w:tc>
        <w:tc>
          <w:tcPr>
            <w:tcW w:w="1134" w:type="dxa"/>
            <w:tcBorders>
              <w:top w:val="single" w:sz="4" w:space="0" w:color="auto"/>
              <w:left w:val="single" w:sz="4" w:space="0" w:color="auto"/>
              <w:bottom w:val="single" w:sz="4" w:space="0" w:color="auto"/>
              <w:right w:val="single" w:sz="4" w:space="0" w:color="auto"/>
            </w:tcBorders>
          </w:tcPr>
          <w:p w14:paraId="51F11849" w14:textId="3D4B56E5" w:rsidR="00B00604" w:rsidRPr="0019212C" w:rsidRDefault="007A0650" w:rsidP="004964E8">
            <w:pPr>
              <w:jc w:val="center"/>
              <w:rPr>
                <w:rFonts w:cs="Arial"/>
              </w:rPr>
            </w:pPr>
            <w:r>
              <w:rPr>
                <w:rFonts w:cs="Arial"/>
              </w:rPr>
              <w:t>250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3D8ECC" w14:textId="0E516357" w:rsidR="00B00604" w:rsidRPr="003122E4" w:rsidRDefault="007A0650" w:rsidP="00B00604">
            <w:pPr>
              <w:jc w:val="center"/>
              <w:rPr>
                <w:rFonts w:cs="Arial"/>
              </w:rPr>
            </w:pPr>
            <w:r w:rsidRPr="003122E4">
              <w:rPr>
                <w:rFonts w:cs="Arial"/>
              </w:rPr>
              <w:t>440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BFFA0" w14:textId="635CB368" w:rsidR="00B00604" w:rsidRPr="0019212C" w:rsidRDefault="007A0650" w:rsidP="004964E8">
            <w:pPr>
              <w:jc w:val="center"/>
              <w:rPr>
                <w:rFonts w:cs="Arial"/>
              </w:rPr>
            </w:pPr>
            <w:r>
              <w:rPr>
                <w:rFonts w:cs="Arial"/>
              </w:rPr>
              <w:t>250</w:t>
            </w:r>
          </w:p>
        </w:tc>
      </w:tr>
    </w:tbl>
    <w:p w14:paraId="55597956" w14:textId="77777777" w:rsidR="00B00604" w:rsidRDefault="00B00604" w:rsidP="00F67033"/>
    <w:p w14:paraId="0580473F" w14:textId="765B7C76" w:rsidR="00E77D2B" w:rsidRDefault="004019F5" w:rsidP="004017E7">
      <w:pPr>
        <w:ind w:left="720" w:hanging="720"/>
      </w:pPr>
      <w:r>
        <w:t>3.</w:t>
      </w:r>
      <w:r w:rsidR="007A0650">
        <w:t>7</w:t>
      </w:r>
      <w:r w:rsidR="00F47ACE">
        <w:tab/>
      </w:r>
      <w:r w:rsidR="00E77D2B">
        <w:t xml:space="preserve">Our windows specification stipulates we use </w:t>
      </w:r>
      <w:r w:rsidR="00F47ACE">
        <w:t>A-</w:t>
      </w:r>
      <w:r w:rsidR="00E77D2B">
        <w:t>rated windows to provide a high degree of energy efficiency for our residents</w:t>
      </w:r>
      <w:r w:rsidR="00F47ACE">
        <w:t>.</w:t>
      </w:r>
      <w:r w:rsidR="004A2C3B">
        <w:t xml:space="preserve"> This has become more prevalent with the continued cost of living crisis.</w:t>
      </w:r>
    </w:p>
    <w:p w14:paraId="011CA5AC" w14:textId="77777777" w:rsidR="00557C2B" w:rsidRDefault="00557C2B" w:rsidP="00F67033"/>
    <w:p w14:paraId="56BE88C8" w14:textId="2EC2B959" w:rsidR="00E03177" w:rsidRDefault="004019F5" w:rsidP="004017E7">
      <w:pPr>
        <w:ind w:left="720" w:hanging="720"/>
      </w:pPr>
      <w:r>
        <w:t>3.</w:t>
      </w:r>
      <w:r w:rsidR="007A0650">
        <w:t>8</w:t>
      </w:r>
      <w:r w:rsidR="00E77A4B">
        <w:tab/>
      </w:r>
      <w:r w:rsidR="00962BFD">
        <w:t>Added b</w:t>
      </w:r>
      <w:r w:rsidR="00E03177">
        <w:t>enefits</w:t>
      </w:r>
      <w:r w:rsidR="00962BFD">
        <w:t xml:space="preserve"> of carrying out windows and doors renewals would be increasing the EPC rating of our properties and preparing the</w:t>
      </w:r>
      <w:r w:rsidR="005D6135">
        <w:t>m</w:t>
      </w:r>
      <w:r w:rsidR="00962BFD">
        <w:t xml:space="preserve"> for the Decarbonization works planned the Harrow and national Net-zero agenda through the Social Housing Decarbonization Fund Grant works</w:t>
      </w:r>
      <w:r w:rsidR="00690C69">
        <w:t>. Homes would also have increased v</w:t>
      </w:r>
      <w:r w:rsidR="00E03177">
        <w:t>entilation</w:t>
      </w:r>
      <w:r w:rsidR="00690C69">
        <w:t xml:space="preserve"> as the new windows will have trickle vents</w:t>
      </w:r>
      <w:r w:rsidR="00D822A0">
        <w:t>. This will make then less susceptible to damp and mould hereby improving the health and well-being of our residents.</w:t>
      </w:r>
    </w:p>
    <w:p w14:paraId="650C2A48" w14:textId="3A880C93" w:rsidR="005D0400" w:rsidRDefault="005D0400" w:rsidP="004017E7">
      <w:pPr>
        <w:ind w:left="720" w:hanging="720"/>
      </w:pPr>
    </w:p>
    <w:p w14:paraId="5FCA4384" w14:textId="7F4D562F" w:rsidR="00066EA9" w:rsidRDefault="00CC4AD4" w:rsidP="004017E7">
      <w:pPr>
        <w:ind w:left="720" w:hanging="720"/>
      </w:pPr>
      <w:r>
        <w:t>3.</w:t>
      </w:r>
      <w:r w:rsidR="007A0650">
        <w:t>9</w:t>
      </w:r>
      <w:r w:rsidR="005D0400">
        <w:tab/>
      </w:r>
      <w:r w:rsidR="00066EA9">
        <w:t>The SHDF (Social Housing Decarbonisation Fund) segment of Windows and Doors</w:t>
      </w:r>
      <w:r w:rsidR="009173E0">
        <w:t xml:space="preserve"> has the option to be contract managed by the approved SHDF delivery partner as per the SHDF Decarbonization Fund Wave Cabinet Report.  </w:t>
      </w:r>
    </w:p>
    <w:p w14:paraId="7F5B9BBC" w14:textId="2EAB0432" w:rsidR="00066EA9" w:rsidRDefault="00066EA9" w:rsidP="004017E7">
      <w:pPr>
        <w:ind w:left="720" w:hanging="720"/>
      </w:pPr>
    </w:p>
    <w:p w14:paraId="09696CA5" w14:textId="74EB49DA" w:rsidR="005D0400" w:rsidRDefault="009173E0" w:rsidP="009173E0">
      <w:pPr>
        <w:ind w:left="720" w:hanging="720"/>
      </w:pPr>
      <w:r>
        <w:t xml:space="preserve">3.10 </w:t>
      </w:r>
      <w:r>
        <w:tab/>
        <w:t>T</w:t>
      </w:r>
      <w:r w:rsidR="005D0400">
        <w:t>he Tender exercise for both procurements will follow Harrow’s standard weighting of:</w:t>
      </w:r>
    </w:p>
    <w:p w14:paraId="1057372D" w14:textId="3FBC30EE" w:rsidR="005D0400" w:rsidRDefault="005D0400" w:rsidP="00442B27">
      <w:pPr>
        <w:ind w:left="720"/>
      </w:pPr>
      <w:r>
        <w:t>Price/Commercial – 60%, Quality/Technical – 30%, Social Value, 10%</w:t>
      </w:r>
    </w:p>
    <w:p w14:paraId="16C9124F" w14:textId="1A0EE03F" w:rsidR="006C351D" w:rsidRDefault="006C351D" w:rsidP="00F67033"/>
    <w:p w14:paraId="7B2DFA46" w14:textId="420CD3D9" w:rsidR="008817C2" w:rsidRPr="00640845" w:rsidRDefault="00CC4AD4" w:rsidP="00640845">
      <w:pPr>
        <w:jc w:val="both"/>
        <w:rPr>
          <w:b/>
          <w:bCs/>
          <w:sz w:val="28"/>
          <w:szCs w:val="28"/>
        </w:rPr>
      </w:pPr>
      <w:r>
        <w:rPr>
          <w:b/>
          <w:bCs/>
          <w:sz w:val="28"/>
          <w:szCs w:val="28"/>
        </w:rPr>
        <w:t>4</w:t>
      </w:r>
      <w:r w:rsidR="3951D2A0" w:rsidRPr="00640845">
        <w:rPr>
          <w:b/>
          <w:bCs/>
          <w:sz w:val="28"/>
          <w:szCs w:val="28"/>
        </w:rPr>
        <w:t>.</w:t>
      </w:r>
      <w:r w:rsidR="00C92109">
        <w:rPr>
          <w:b/>
          <w:bCs/>
          <w:sz w:val="28"/>
          <w:szCs w:val="28"/>
        </w:rPr>
        <w:t>0</w:t>
      </w:r>
      <w:r w:rsidR="3951D2A0" w:rsidRPr="00640845">
        <w:rPr>
          <w:b/>
          <w:bCs/>
          <w:sz w:val="28"/>
          <w:szCs w:val="28"/>
        </w:rPr>
        <w:t xml:space="preserve"> </w:t>
      </w:r>
      <w:r w:rsidR="00E06FE6">
        <w:rPr>
          <w:b/>
          <w:bCs/>
          <w:sz w:val="28"/>
          <w:szCs w:val="28"/>
        </w:rPr>
        <w:tab/>
      </w:r>
      <w:r w:rsidR="3951D2A0" w:rsidRPr="00640845">
        <w:rPr>
          <w:b/>
          <w:bCs/>
          <w:sz w:val="28"/>
          <w:szCs w:val="28"/>
        </w:rPr>
        <w:t xml:space="preserve">Performance Issues </w:t>
      </w:r>
    </w:p>
    <w:p w14:paraId="2DE739E7" w14:textId="77777777" w:rsidR="008817C2" w:rsidRPr="00355BA6" w:rsidRDefault="008817C2" w:rsidP="00640845">
      <w:pPr>
        <w:jc w:val="both"/>
      </w:pPr>
    </w:p>
    <w:p w14:paraId="3374CF09" w14:textId="75355387" w:rsidR="00875304" w:rsidRDefault="00CC4AD4" w:rsidP="00F67033">
      <w:r>
        <w:rPr>
          <w:rFonts w:cs="Arial"/>
        </w:rPr>
        <w:t>4</w:t>
      </w:r>
      <w:r w:rsidR="3951D2A0" w:rsidRPr="1B42CD03">
        <w:rPr>
          <w:rFonts w:cs="Arial"/>
        </w:rPr>
        <w:t>.</w:t>
      </w:r>
      <w:r w:rsidR="00C92109">
        <w:rPr>
          <w:rFonts w:cs="Arial"/>
        </w:rPr>
        <w:t>1</w:t>
      </w:r>
      <w:r w:rsidR="3951D2A0" w:rsidRPr="1B42CD03">
        <w:rPr>
          <w:rFonts w:cs="Arial"/>
        </w:rPr>
        <w:t xml:space="preserve"> </w:t>
      </w:r>
      <w:r w:rsidR="00E215C3">
        <w:rPr>
          <w:rFonts w:cs="Arial"/>
        </w:rPr>
        <w:tab/>
      </w:r>
      <w:r w:rsidR="3951D2A0">
        <w:t xml:space="preserve">The new contractors will be managed effectively from mobilisation </w:t>
      </w:r>
      <w:r w:rsidR="00E215C3">
        <w:tab/>
      </w:r>
      <w:r w:rsidR="3951D2A0">
        <w:t xml:space="preserve">through each project, by the </w:t>
      </w:r>
      <w:r w:rsidR="00C46D10">
        <w:t>Planned Investment Team</w:t>
      </w:r>
      <w:r w:rsidR="3951D2A0">
        <w:t xml:space="preserve">. </w:t>
      </w:r>
      <w:r w:rsidR="00E215C3">
        <w:tab/>
      </w:r>
      <w:r w:rsidR="3951D2A0">
        <w:t xml:space="preserve">Performance statistics will be reviewed monthly and monitored. </w:t>
      </w:r>
      <w:r w:rsidR="00C014F0">
        <w:tab/>
      </w:r>
      <w:r w:rsidR="3951D2A0">
        <w:t>Effective and regular communication between the contractor</w:t>
      </w:r>
      <w:r w:rsidR="00C46D10">
        <w:t>s</w:t>
      </w:r>
      <w:r w:rsidR="3951D2A0">
        <w:t xml:space="preserve"> and the </w:t>
      </w:r>
      <w:r w:rsidR="00C014F0">
        <w:tab/>
      </w:r>
      <w:r w:rsidR="3951D2A0">
        <w:t>Council whilst works are underway will ensure</w:t>
      </w:r>
      <w:r w:rsidR="00C46D10" w:rsidRPr="00C46D10">
        <w:t xml:space="preserve"> </w:t>
      </w:r>
      <w:r w:rsidR="00C46D10">
        <w:t>progress with</w:t>
      </w:r>
      <w:r w:rsidR="3951D2A0">
        <w:t xml:space="preserve"> </w:t>
      </w:r>
      <w:r w:rsidR="00C46D10">
        <w:t>delivery</w:t>
      </w:r>
      <w:r w:rsidR="00C92109">
        <w:t>.</w:t>
      </w:r>
    </w:p>
    <w:p w14:paraId="1DDA5B22" w14:textId="2D2BCADE" w:rsidR="005D0400" w:rsidRDefault="005D0400" w:rsidP="00F67033"/>
    <w:p w14:paraId="0412673E" w14:textId="62D9A1EF" w:rsidR="005D0400" w:rsidRDefault="00CC4AD4" w:rsidP="00442B27">
      <w:pPr>
        <w:ind w:left="720" w:hanging="720"/>
      </w:pPr>
      <w:r>
        <w:t>4.2</w:t>
      </w:r>
      <w:r w:rsidR="005D0400">
        <w:tab/>
        <w:t xml:space="preserve">The works will be covered for a DLP (Defects Liability Period) for 1 year from commission. Our in-house Clerk of Works will be inspecting works on completion to ensure any snagging is carried out straight away. If the contractor encounters any repairs out of the scope of </w:t>
      </w:r>
      <w:r w:rsidR="003122E4">
        <w:t>works,</w:t>
      </w:r>
      <w:r w:rsidR="005D0400">
        <w:t xml:space="preserve"> they will notify the Contract Administrator and we will either instruct the contractor to carry out the repair or refer to our term contractor or specialist depending on urgency and/or type of works.</w:t>
      </w:r>
    </w:p>
    <w:p w14:paraId="519BF668" w14:textId="77777777" w:rsidR="00E07359" w:rsidRDefault="00E07359" w:rsidP="00F67033"/>
    <w:p w14:paraId="133EAA46" w14:textId="6312BFD8" w:rsidR="00E07359" w:rsidRDefault="00CC4AD4" w:rsidP="004017E7">
      <w:pPr>
        <w:ind w:left="720" w:hanging="720"/>
      </w:pPr>
      <w:r>
        <w:t>4.3</w:t>
      </w:r>
      <w:r w:rsidR="00E07359">
        <w:tab/>
        <w:t>In addition we intend to form monthly project groups, inviting residents and Members to support the management and monitoring of the schemes throughout their implementation.</w:t>
      </w:r>
    </w:p>
    <w:p w14:paraId="77965F5F" w14:textId="5127931A" w:rsidR="005D0400" w:rsidRDefault="005D0400" w:rsidP="004017E7">
      <w:pPr>
        <w:ind w:left="720" w:hanging="720"/>
      </w:pPr>
    </w:p>
    <w:p w14:paraId="6B689758" w14:textId="72CBFEAA" w:rsidR="005D0400" w:rsidRDefault="00CC4AD4" w:rsidP="004017E7">
      <w:pPr>
        <w:ind w:left="720" w:hanging="720"/>
      </w:pPr>
      <w:r>
        <w:lastRenderedPageBreak/>
        <w:t>4.4</w:t>
      </w:r>
      <w:r w:rsidR="005D0400">
        <w:tab/>
        <w:t>KPI Suite</w:t>
      </w:r>
    </w:p>
    <w:p w14:paraId="76431FEA" w14:textId="05716CD3" w:rsidR="005D0400" w:rsidRPr="005074AA" w:rsidRDefault="005D0400" w:rsidP="004017E7">
      <w:pPr>
        <w:ind w:left="720" w:hanging="720"/>
      </w:pPr>
      <w:r>
        <w:t xml:space="preserve"> </w:t>
      </w:r>
    </w:p>
    <w:p w14:paraId="2551D7EF" w14:textId="3F0AA31A" w:rsidR="005D0400" w:rsidRPr="00442B27" w:rsidRDefault="005D0400" w:rsidP="00442B27">
      <w:pPr>
        <w:pStyle w:val="Default"/>
        <w:numPr>
          <w:ilvl w:val="0"/>
          <w:numId w:val="57"/>
        </w:numPr>
        <w:rPr>
          <w:sz w:val="22"/>
          <w:szCs w:val="22"/>
        </w:rPr>
      </w:pPr>
      <w:r w:rsidRPr="00442B27">
        <w:rPr>
          <w:b/>
          <w:bCs/>
          <w:sz w:val="22"/>
          <w:szCs w:val="22"/>
        </w:rPr>
        <w:t xml:space="preserve">Client/resident Satisfaction: </w:t>
      </w:r>
      <w:r w:rsidRPr="00442B27">
        <w:rPr>
          <w:sz w:val="22"/>
          <w:szCs w:val="22"/>
        </w:rPr>
        <w:t>Target min 90%</w:t>
      </w:r>
    </w:p>
    <w:p w14:paraId="62BA305C" w14:textId="77777777" w:rsidR="005D0400" w:rsidRPr="00442B27" w:rsidRDefault="005D0400" w:rsidP="005D0400">
      <w:pPr>
        <w:pStyle w:val="Default"/>
        <w:ind w:firstLine="720"/>
        <w:rPr>
          <w:sz w:val="22"/>
          <w:szCs w:val="22"/>
        </w:rPr>
      </w:pPr>
    </w:p>
    <w:p w14:paraId="4509145F" w14:textId="6D7478D3" w:rsidR="005D0400" w:rsidRPr="00442B27" w:rsidRDefault="005D0400" w:rsidP="00442B27">
      <w:pPr>
        <w:pStyle w:val="Default"/>
        <w:ind w:left="1440"/>
        <w:rPr>
          <w:sz w:val="22"/>
          <w:szCs w:val="22"/>
        </w:rPr>
      </w:pPr>
      <w:r w:rsidRPr="00442B27">
        <w:rPr>
          <w:b/>
          <w:bCs/>
          <w:sz w:val="22"/>
          <w:szCs w:val="22"/>
        </w:rPr>
        <w:t>2) Cost Predictability</w:t>
      </w:r>
      <w:r w:rsidRPr="00442B27">
        <w:rPr>
          <w:sz w:val="22"/>
          <w:szCs w:val="22"/>
        </w:rPr>
        <w:t xml:space="preserve">: monthly analysis of projected Final Account against Contract Sum and Actuals monthly valuations against forecast cash flows: Target: within 10% of forecast. </w:t>
      </w:r>
    </w:p>
    <w:p w14:paraId="2034F79C" w14:textId="77777777" w:rsidR="005D0400" w:rsidRPr="00442B27" w:rsidRDefault="005D0400" w:rsidP="005D0400">
      <w:pPr>
        <w:pStyle w:val="Default"/>
        <w:ind w:firstLine="720"/>
        <w:rPr>
          <w:b/>
          <w:bCs/>
          <w:sz w:val="22"/>
          <w:szCs w:val="22"/>
        </w:rPr>
      </w:pPr>
    </w:p>
    <w:p w14:paraId="4C92E672" w14:textId="2B992C5C" w:rsidR="005D0400" w:rsidRPr="00442B27" w:rsidRDefault="005D0400" w:rsidP="00442B27">
      <w:pPr>
        <w:pStyle w:val="Default"/>
        <w:ind w:left="1440"/>
        <w:rPr>
          <w:sz w:val="22"/>
          <w:szCs w:val="22"/>
        </w:rPr>
      </w:pPr>
      <w:r w:rsidRPr="00442B27">
        <w:rPr>
          <w:b/>
          <w:bCs/>
          <w:sz w:val="22"/>
          <w:szCs w:val="22"/>
        </w:rPr>
        <w:t xml:space="preserve">3) Quality: </w:t>
      </w:r>
      <w:r w:rsidRPr="00442B27">
        <w:rPr>
          <w:sz w:val="22"/>
          <w:szCs w:val="22"/>
        </w:rPr>
        <w:t>Properties offered to the client as completed: Target 85% no defects. Individual Properties: 5% reduction for every 3</w:t>
      </w:r>
      <w:r w:rsidRPr="00442B27">
        <w:rPr>
          <w:sz w:val="14"/>
          <w:szCs w:val="14"/>
        </w:rPr>
        <w:t xml:space="preserve">rd </w:t>
      </w:r>
      <w:r w:rsidRPr="00442B27">
        <w:rPr>
          <w:sz w:val="22"/>
          <w:szCs w:val="22"/>
        </w:rPr>
        <w:t>defect. Max 5-defects per Property. 10% reduction per defect over 5 defects.</w:t>
      </w:r>
    </w:p>
    <w:p w14:paraId="6590E063" w14:textId="77777777" w:rsidR="005D0400" w:rsidRPr="00442B27" w:rsidRDefault="005D0400" w:rsidP="005D0400">
      <w:pPr>
        <w:pStyle w:val="Default"/>
        <w:ind w:firstLine="720"/>
        <w:rPr>
          <w:b/>
          <w:bCs/>
          <w:sz w:val="22"/>
          <w:szCs w:val="22"/>
        </w:rPr>
      </w:pPr>
    </w:p>
    <w:p w14:paraId="3A9F7EAD" w14:textId="026486B8" w:rsidR="005D0400" w:rsidRPr="00442B27" w:rsidRDefault="005D0400" w:rsidP="00442B27">
      <w:pPr>
        <w:pStyle w:val="Default"/>
        <w:ind w:left="1440"/>
        <w:rPr>
          <w:sz w:val="22"/>
          <w:szCs w:val="22"/>
        </w:rPr>
      </w:pPr>
      <w:r w:rsidRPr="00442B27">
        <w:rPr>
          <w:b/>
          <w:bCs/>
          <w:sz w:val="22"/>
          <w:szCs w:val="22"/>
        </w:rPr>
        <w:t xml:space="preserve">4) Time Predictability: </w:t>
      </w:r>
      <w:r w:rsidRPr="00442B27">
        <w:rPr>
          <w:sz w:val="22"/>
          <w:szCs w:val="22"/>
        </w:rPr>
        <w:t xml:space="preserve">Monthly analysis of Actual time against original submitted programme. Target 90% delivery against contract period allowing for any issued contract extensions of time. </w:t>
      </w:r>
    </w:p>
    <w:p w14:paraId="0FFF7D87" w14:textId="77777777" w:rsidR="005D0400" w:rsidRPr="00442B27" w:rsidRDefault="005D0400" w:rsidP="005D0400">
      <w:pPr>
        <w:pStyle w:val="Default"/>
        <w:ind w:left="720" w:firstLine="720"/>
        <w:rPr>
          <w:b/>
          <w:bCs/>
          <w:sz w:val="22"/>
          <w:szCs w:val="22"/>
        </w:rPr>
      </w:pPr>
    </w:p>
    <w:p w14:paraId="13CB95D5" w14:textId="7EA5F6D5" w:rsidR="005D0400" w:rsidRPr="00442B27" w:rsidRDefault="005D0400" w:rsidP="00442B27">
      <w:pPr>
        <w:pStyle w:val="Default"/>
        <w:ind w:left="1440"/>
        <w:rPr>
          <w:sz w:val="22"/>
          <w:szCs w:val="22"/>
        </w:rPr>
      </w:pPr>
      <w:r w:rsidRPr="00442B27">
        <w:rPr>
          <w:b/>
          <w:bCs/>
          <w:sz w:val="22"/>
          <w:szCs w:val="22"/>
        </w:rPr>
        <w:t xml:space="preserve">5) Safety: </w:t>
      </w:r>
      <w:r w:rsidRPr="00442B27">
        <w:rPr>
          <w:sz w:val="22"/>
          <w:szCs w:val="22"/>
        </w:rPr>
        <w:t xml:space="preserve">Record all site safety incidents or ‘near misses’ and RIDDOR </w:t>
      </w:r>
      <w:r w:rsidR="009A725D">
        <w:rPr>
          <w:sz w:val="22"/>
          <w:szCs w:val="22"/>
        </w:rPr>
        <w:t>(</w:t>
      </w:r>
      <w:r w:rsidR="009A725D" w:rsidRPr="004B0F7C">
        <w:rPr>
          <w:color w:val="040C28"/>
          <w:sz w:val="22"/>
          <w:szCs w:val="22"/>
        </w:rPr>
        <w:t xml:space="preserve">Reporting of Injuries, Diseases and Dangerous Occurrences Regulations) </w:t>
      </w:r>
      <w:r w:rsidRPr="00442B27">
        <w:rPr>
          <w:sz w:val="22"/>
          <w:szCs w:val="22"/>
        </w:rPr>
        <w:t>Incidents. Target 100% no incidents</w:t>
      </w:r>
    </w:p>
    <w:p w14:paraId="6D9331BB" w14:textId="043FBDD6" w:rsidR="000929A6" w:rsidRPr="001472A8" w:rsidRDefault="000929A6" w:rsidP="00640845">
      <w:pPr>
        <w:jc w:val="both"/>
      </w:pPr>
    </w:p>
    <w:p w14:paraId="6B1F8487" w14:textId="2C868BF9" w:rsidR="00CC4AD4" w:rsidRPr="00CC4AD4" w:rsidRDefault="00CC4AD4" w:rsidP="00CC4AD4">
      <w:pPr>
        <w:pStyle w:val="Heading2"/>
        <w:jc w:val="both"/>
        <w:rPr>
          <w:rFonts w:ascii="Arial" w:hAnsi="Arial"/>
          <w:sz w:val="28"/>
          <w:szCs w:val="28"/>
        </w:rPr>
      </w:pPr>
      <w:r>
        <w:rPr>
          <w:rFonts w:ascii="Arial" w:hAnsi="Arial"/>
          <w:sz w:val="28"/>
          <w:szCs w:val="28"/>
        </w:rPr>
        <w:t>5</w:t>
      </w:r>
      <w:r w:rsidR="3951D2A0" w:rsidRPr="00640845">
        <w:rPr>
          <w:rFonts w:ascii="Arial" w:hAnsi="Arial"/>
          <w:sz w:val="28"/>
          <w:szCs w:val="28"/>
        </w:rPr>
        <w:t>.</w:t>
      </w:r>
      <w:r>
        <w:rPr>
          <w:rFonts w:ascii="Arial" w:hAnsi="Arial"/>
          <w:sz w:val="28"/>
          <w:szCs w:val="28"/>
        </w:rPr>
        <w:t>0</w:t>
      </w:r>
      <w:r>
        <w:rPr>
          <w:rFonts w:ascii="Arial" w:hAnsi="Arial"/>
          <w:sz w:val="28"/>
          <w:szCs w:val="28"/>
        </w:rPr>
        <w:tab/>
      </w:r>
      <w:r w:rsidR="3951D2A0" w:rsidRPr="00640845">
        <w:rPr>
          <w:rFonts w:ascii="Arial" w:hAnsi="Arial"/>
          <w:sz w:val="28"/>
          <w:szCs w:val="28"/>
        </w:rPr>
        <w:t>Environmental Implications</w:t>
      </w:r>
    </w:p>
    <w:p w14:paraId="04324E13" w14:textId="77777777" w:rsidR="008817C2" w:rsidRDefault="008817C2" w:rsidP="00640845">
      <w:pPr>
        <w:pStyle w:val="Heading2"/>
        <w:jc w:val="both"/>
        <w:rPr>
          <w:rFonts w:ascii="Arial" w:hAnsi="Arial"/>
          <w:sz w:val="28"/>
          <w:szCs w:val="28"/>
        </w:rPr>
      </w:pPr>
    </w:p>
    <w:p w14:paraId="74D8EE73" w14:textId="6A348396" w:rsidR="008817C2" w:rsidRPr="00141B27" w:rsidRDefault="00CC4AD4" w:rsidP="00F67033">
      <w:pPr>
        <w:rPr>
          <w:rFonts w:ascii="Arial Black" w:hAnsi="Arial Black" w:cs="Arial"/>
          <w:b/>
          <w:bCs/>
          <w:i/>
          <w:iCs/>
          <w:sz w:val="32"/>
          <w:szCs w:val="32"/>
        </w:rPr>
      </w:pPr>
      <w:r>
        <w:t>5.1</w:t>
      </w:r>
      <w:r w:rsidR="00875304">
        <w:rPr>
          <w:b/>
          <w:bCs/>
          <w:sz w:val="28"/>
          <w:szCs w:val="28"/>
        </w:rPr>
        <w:tab/>
      </w:r>
      <w:r w:rsidR="3951D2A0">
        <w:t xml:space="preserve">It is the intention of the Asset Management Team that the delivery of all </w:t>
      </w:r>
      <w:r w:rsidR="00875304">
        <w:tab/>
      </w:r>
      <w:r w:rsidR="3951D2A0">
        <w:t xml:space="preserve">contracts will contribute to the Council’s objectives around social, </w:t>
      </w:r>
      <w:r w:rsidR="00875304">
        <w:tab/>
      </w:r>
      <w:r w:rsidR="00D82574">
        <w:t>economic,</w:t>
      </w:r>
      <w:r w:rsidR="3951D2A0">
        <w:t xml:space="preserve"> and environmental sustainability. We aim to do all we can to </w:t>
      </w:r>
      <w:r w:rsidR="00875304">
        <w:tab/>
      </w:r>
      <w:r w:rsidR="3951D2A0">
        <w:t xml:space="preserve">ensure that we support Harrow’s economy by buying locally wherever </w:t>
      </w:r>
      <w:r w:rsidR="00875304">
        <w:tab/>
      </w:r>
      <w:r w:rsidR="3951D2A0">
        <w:t xml:space="preserve">practical and maximise opportunities for local people in employment </w:t>
      </w:r>
      <w:r w:rsidR="000D1538">
        <w:tab/>
      </w:r>
      <w:r w:rsidR="3951D2A0">
        <w:t xml:space="preserve">and training. The contract specification will ensure that tenders </w:t>
      </w:r>
      <w:r w:rsidR="000D1538">
        <w:tab/>
      </w:r>
      <w:r w:rsidR="3951D2A0">
        <w:t xml:space="preserve">provide detailed information about their contribution to the </w:t>
      </w:r>
      <w:r w:rsidR="000D1538">
        <w:tab/>
      </w:r>
      <w:r w:rsidR="3951D2A0">
        <w:t xml:space="preserve">environment and sustainability and by looking for a framework of </w:t>
      </w:r>
      <w:r w:rsidR="000D1538">
        <w:tab/>
      </w:r>
      <w:r w:rsidR="3951D2A0">
        <w:t xml:space="preserve">contractors we hope to procure small, local contractors who will be </w:t>
      </w:r>
      <w:r w:rsidR="000D1538">
        <w:tab/>
      </w:r>
      <w:r w:rsidR="3951D2A0">
        <w:t>better placed to employ a local workforce.</w:t>
      </w:r>
    </w:p>
    <w:p w14:paraId="6B490CB9" w14:textId="77777777" w:rsidR="008817C2" w:rsidRDefault="008817C2" w:rsidP="00640845">
      <w:pPr>
        <w:pStyle w:val="Heading4"/>
        <w:jc w:val="both"/>
        <w:rPr>
          <w:color w:val="0000FF"/>
        </w:rPr>
      </w:pPr>
    </w:p>
    <w:p w14:paraId="03EBA5CE" w14:textId="681660ED" w:rsidR="008817C2" w:rsidRPr="00DC1C05" w:rsidRDefault="00CC4AD4" w:rsidP="00640845">
      <w:pPr>
        <w:jc w:val="both"/>
        <w:rPr>
          <w:b/>
          <w:bCs/>
          <w:sz w:val="28"/>
          <w:szCs w:val="28"/>
        </w:rPr>
      </w:pPr>
      <w:r>
        <w:rPr>
          <w:b/>
          <w:bCs/>
          <w:sz w:val="28"/>
          <w:szCs w:val="28"/>
        </w:rPr>
        <w:t>6.0</w:t>
      </w:r>
      <w:r w:rsidR="3951D2A0" w:rsidRPr="005074AA">
        <w:rPr>
          <w:b/>
          <w:bCs/>
          <w:sz w:val="28"/>
          <w:szCs w:val="28"/>
        </w:rPr>
        <w:t xml:space="preserve"> </w:t>
      </w:r>
      <w:r w:rsidR="008233DE" w:rsidRPr="005074AA">
        <w:rPr>
          <w:b/>
          <w:bCs/>
          <w:sz w:val="28"/>
          <w:szCs w:val="28"/>
        </w:rPr>
        <w:tab/>
      </w:r>
      <w:r w:rsidR="3951D2A0" w:rsidRPr="005074AA">
        <w:rPr>
          <w:b/>
          <w:bCs/>
          <w:sz w:val="28"/>
          <w:szCs w:val="28"/>
        </w:rPr>
        <w:t>Risk Management Implications</w:t>
      </w:r>
    </w:p>
    <w:p w14:paraId="02447D3F" w14:textId="77777777" w:rsidR="008817C2" w:rsidRDefault="008817C2" w:rsidP="00640845">
      <w:pPr>
        <w:pStyle w:val="Heading2"/>
        <w:jc w:val="both"/>
        <w:rPr>
          <w:rFonts w:ascii="Arial" w:hAnsi="Arial"/>
          <w:sz w:val="28"/>
          <w:szCs w:val="28"/>
        </w:rPr>
      </w:pPr>
    </w:p>
    <w:p w14:paraId="246D4AA7" w14:textId="6B38A525" w:rsidR="0062603D" w:rsidRDefault="00CC4AD4" w:rsidP="004017E7">
      <w:pPr>
        <w:ind w:left="720" w:right="141" w:hanging="720"/>
        <w:rPr>
          <w:rFonts w:cs="Arial"/>
          <w:color w:val="000000"/>
          <w:szCs w:val="24"/>
          <w:lang w:val="en-US" w:eastAsia="en-GB"/>
        </w:rPr>
      </w:pPr>
      <w:r>
        <w:rPr>
          <w:szCs w:val="24"/>
        </w:rPr>
        <w:t>6.1</w:t>
      </w:r>
      <w:r w:rsidR="3951D2A0" w:rsidRPr="1B42CD03">
        <w:rPr>
          <w:sz w:val="28"/>
          <w:szCs w:val="28"/>
        </w:rPr>
        <w:t xml:space="preserve"> </w:t>
      </w:r>
      <w:r w:rsidR="008233DE">
        <w:rPr>
          <w:sz w:val="28"/>
          <w:szCs w:val="28"/>
        </w:rPr>
        <w:tab/>
      </w:r>
      <w:r w:rsidR="0062603D" w:rsidRPr="00122485">
        <w:rPr>
          <w:rFonts w:cs="Arial"/>
          <w:color w:val="000000"/>
          <w:szCs w:val="24"/>
          <w:lang w:val="en-US" w:eastAsia="en-GB"/>
        </w:rPr>
        <w:t xml:space="preserve">The risks relating to </w:t>
      </w:r>
      <w:r w:rsidR="0062603D">
        <w:rPr>
          <w:rFonts w:cs="Arial"/>
          <w:color w:val="000000"/>
          <w:szCs w:val="24"/>
          <w:lang w:val="en-US" w:eastAsia="en-GB"/>
        </w:rPr>
        <w:t xml:space="preserve">the delivery of the </w:t>
      </w:r>
      <w:r w:rsidR="00463649">
        <w:rPr>
          <w:rFonts w:cs="Arial"/>
          <w:color w:val="000000"/>
          <w:szCs w:val="24"/>
          <w:lang w:val="en-US" w:eastAsia="en-GB"/>
        </w:rPr>
        <w:t>C</w:t>
      </w:r>
      <w:r w:rsidR="0062603D">
        <w:rPr>
          <w:rFonts w:cs="Arial"/>
          <w:color w:val="000000"/>
          <w:szCs w:val="24"/>
          <w:lang w:val="en-US" w:eastAsia="en-GB"/>
        </w:rPr>
        <w:t xml:space="preserve">apital </w:t>
      </w:r>
      <w:r w:rsidR="00463649">
        <w:rPr>
          <w:rFonts w:cs="Arial"/>
          <w:color w:val="000000"/>
          <w:szCs w:val="24"/>
          <w:lang w:val="en-US" w:eastAsia="en-GB"/>
        </w:rPr>
        <w:t>P</w:t>
      </w:r>
      <w:r w:rsidR="0062603D">
        <w:rPr>
          <w:rFonts w:cs="Arial"/>
          <w:color w:val="000000"/>
          <w:szCs w:val="24"/>
          <w:lang w:val="en-US" w:eastAsia="en-GB"/>
        </w:rPr>
        <w:t xml:space="preserve">rogramme </w:t>
      </w:r>
      <w:r w:rsidR="00AE32A6">
        <w:rPr>
          <w:rFonts w:cs="Arial"/>
          <w:color w:val="000000"/>
          <w:szCs w:val="24"/>
          <w:lang w:val="en-US" w:eastAsia="en-GB"/>
        </w:rPr>
        <w:t>will be</w:t>
      </w:r>
      <w:r w:rsidR="0062603D" w:rsidRPr="00122485">
        <w:rPr>
          <w:rFonts w:cs="Arial"/>
          <w:color w:val="000000"/>
          <w:szCs w:val="24"/>
          <w:lang w:val="en-US" w:eastAsia="en-GB"/>
        </w:rPr>
        <w:t xml:space="preserve"> included in the Housing Risk Register which contains overarching risks in relation to delivery of the Capital Programme. Specific risks will be monitored </w:t>
      </w:r>
      <w:r w:rsidR="0062603D">
        <w:rPr>
          <w:rFonts w:cs="Arial"/>
          <w:color w:val="000000"/>
          <w:szCs w:val="24"/>
          <w:lang w:val="en-US" w:eastAsia="en-GB"/>
        </w:rPr>
        <w:t xml:space="preserve">on the </w:t>
      </w:r>
      <w:r w:rsidR="0062603D" w:rsidRPr="00122485">
        <w:rPr>
          <w:rFonts w:cs="Arial"/>
          <w:color w:val="000000"/>
          <w:szCs w:val="24"/>
          <w:lang w:val="en-US" w:eastAsia="en-GB"/>
        </w:rPr>
        <w:t xml:space="preserve">project </w:t>
      </w:r>
      <w:r w:rsidR="0062603D">
        <w:rPr>
          <w:rFonts w:cs="Arial"/>
          <w:color w:val="000000"/>
          <w:szCs w:val="24"/>
          <w:lang w:val="en-US" w:eastAsia="en-GB"/>
        </w:rPr>
        <w:t xml:space="preserve">as it </w:t>
      </w:r>
      <w:r w:rsidR="0062603D" w:rsidRPr="00122485">
        <w:rPr>
          <w:rFonts w:cs="Arial"/>
          <w:color w:val="000000"/>
          <w:szCs w:val="24"/>
          <w:lang w:val="en-US" w:eastAsia="en-GB"/>
        </w:rPr>
        <w:t>moves forward.</w:t>
      </w:r>
    </w:p>
    <w:p w14:paraId="56FA358B" w14:textId="77777777" w:rsidR="008817C2" w:rsidRDefault="008817C2" w:rsidP="00640845">
      <w:pPr>
        <w:pStyle w:val="Heading2"/>
        <w:jc w:val="both"/>
        <w:rPr>
          <w:rFonts w:ascii="Arial" w:hAnsi="Arial"/>
          <w:sz w:val="28"/>
          <w:szCs w:val="28"/>
        </w:rPr>
      </w:pPr>
    </w:p>
    <w:p w14:paraId="45B01CD7" w14:textId="77F1A2F6" w:rsidR="008817C2" w:rsidRPr="00141B27" w:rsidRDefault="00CC4AD4" w:rsidP="00F67033">
      <w:r>
        <w:t>6.2</w:t>
      </w:r>
      <w:r w:rsidR="3951D2A0">
        <w:t xml:space="preserve"> </w:t>
      </w:r>
      <w:r w:rsidR="008233DE">
        <w:tab/>
      </w:r>
      <w:r w:rsidR="3951D2A0">
        <w:t xml:space="preserve">In addition risks are identified and monitored for each individual project </w:t>
      </w:r>
      <w:r w:rsidR="008233DE">
        <w:tab/>
      </w:r>
      <w:r w:rsidR="3951D2A0">
        <w:t xml:space="preserve">undertaken within the service. The contractors are responsible for </w:t>
      </w:r>
      <w:r w:rsidR="008233DE">
        <w:tab/>
      </w:r>
      <w:r w:rsidR="3951D2A0">
        <w:t>completing</w:t>
      </w:r>
      <w:r w:rsidR="00437225">
        <w:t xml:space="preserve"> a</w:t>
      </w:r>
      <w:r w:rsidR="3951D2A0">
        <w:t xml:space="preserve"> risk assessment.</w:t>
      </w:r>
    </w:p>
    <w:p w14:paraId="0307E565" w14:textId="77777777" w:rsidR="009A725D" w:rsidRDefault="009A725D" w:rsidP="00640845">
      <w:pPr>
        <w:tabs>
          <w:tab w:val="left" w:pos="5610"/>
        </w:tabs>
        <w:ind w:right="81"/>
        <w:jc w:val="both"/>
        <w:rPr>
          <w:rFonts w:cs="Arial"/>
          <w:lang w:val="en-US"/>
        </w:rPr>
      </w:pPr>
      <w:bookmarkStart w:id="0" w:name="_Hlk60923477"/>
      <w:bookmarkStart w:id="1" w:name="_Hlk60922991"/>
      <w:bookmarkStart w:id="2" w:name="_Hlk60923939"/>
    </w:p>
    <w:p w14:paraId="4FAAF2A0" w14:textId="77777777" w:rsidR="009A725D" w:rsidRDefault="009A725D" w:rsidP="00640845">
      <w:pPr>
        <w:tabs>
          <w:tab w:val="left" w:pos="5610"/>
        </w:tabs>
        <w:ind w:right="81"/>
        <w:jc w:val="both"/>
        <w:rPr>
          <w:rFonts w:cs="Arial"/>
          <w:lang w:val="en-US"/>
        </w:rPr>
      </w:pPr>
    </w:p>
    <w:p w14:paraId="0B289C2F" w14:textId="4CE3867B" w:rsidR="00C53F1A" w:rsidRPr="00105B8A" w:rsidRDefault="18B1AD6B" w:rsidP="00640845">
      <w:pPr>
        <w:tabs>
          <w:tab w:val="left" w:pos="5610"/>
        </w:tabs>
        <w:ind w:right="81"/>
        <w:jc w:val="both"/>
        <w:rPr>
          <w:color w:val="0000FF"/>
        </w:rPr>
      </w:pPr>
      <w:r w:rsidRPr="1B42CD03">
        <w:rPr>
          <w:rFonts w:cs="Arial"/>
          <w:lang w:val="en-US"/>
        </w:rPr>
        <w:t xml:space="preserve">Risks included on corporate or directorate risk </w:t>
      </w:r>
      <w:proofErr w:type="gramStart"/>
      <w:r w:rsidRPr="1B42CD03">
        <w:rPr>
          <w:rFonts w:cs="Arial"/>
          <w:lang w:val="en-US"/>
        </w:rPr>
        <w:t>register?</w:t>
      </w:r>
      <w:proofErr w:type="gramEnd"/>
      <w:r w:rsidRPr="1B42CD03">
        <w:rPr>
          <w:rFonts w:cs="Arial"/>
          <w:lang w:val="en-US"/>
        </w:rPr>
        <w:t xml:space="preserve"> </w:t>
      </w:r>
      <w:r w:rsidR="00AE32A6">
        <w:rPr>
          <w:rFonts w:cs="Arial"/>
          <w:b/>
          <w:bCs/>
          <w:lang w:val="en-US"/>
        </w:rPr>
        <w:t>No</w:t>
      </w:r>
    </w:p>
    <w:p w14:paraId="2FFC64C8" w14:textId="77777777" w:rsidR="00C53F1A" w:rsidRDefault="18B1AD6B" w:rsidP="00640845">
      <w:pPr>
        <w:ind w:left="-142" w:right="141"/>
        <w:jc w:val="both"/>
        <w:rPr>
          <w:rFonts w:cs="Arial"/>
          <w:lang w:val="en-US" w:eastAsia="en-GB"/>
        </w:rPr>
      </w:pPr>
      <w:r w:rsidRPr="1B42CD03">
        <w:rPr>
          <w:rFonts w:cs="Arial"/>
          <w:lang w:val="en-US" w:eastAsia="en-GB"/>
        </w:rPr>
        <w:t xml:space="preserve">  </w:t>
      </w:r>
    </w:p>
    <w:p w14:paraId="00B31EDB" w14:textId="29C2B683" w:rsidR="00C53F1A" w:rsidRDefault="18B1AD6B" w:rsidP="00640845">
      <w:pPr>
        <w:ind w:left="-142" w:right="141" w:firstLine="142"/>
        <w:jc w:val="both"/>
        <w:rPr>
          <w:rFonts w:cs="Arial"/>
          <w:color w:val="4F81BD" w:themeColor="accent1"/>
          <w:lang w:val="en-US" w:eastAsia="en-GB"/>
        </w:rPr>
      </w:pPr>
      <w:r w:rsidRPr="1B42CD03">
        <w:rPr>
          <w:rFonts w:cs="Arial"/>
          <w:lang w:val="en-US" w:eastAsia="en-GB"/>
        </w:rPr>
        <w:t xml:space="preserve">Separate risk register in place? </w:t>
      </w:r>
      <w:r w:rsidR="00AE32A6">
        <w:rPr>
          <w:rFonts w:cs="Arial"/>
          <w:b/>
          <w:bCs/>
          <w:lang w:val="en-US" w:eastAsia="en-GB"/>
        </w:rPr>
        <w:t>Yes</w:t>
      </w:r>
    </w:p>
    <w:p w14:paraId="72B374FF" w14:textId="77777777" w:rsidR="00C53F1A" w:rsidRDefault="00C53F1A" w:rsidP="00640845">
      <w:pPr>
        <w:tabs>
          <w:tab w:val="left" w:pos="5610"/>
        </w:tabs>
        <w:ind w:left="567" w:right="81" w:hanging="567"/>
        <w:jc w:val="both"/>
      </w:pPr>
    </w:p>
    <w:p w14:paraId="2E054B04" w14:textId="5E575FCE" w:rsidR="00C53F1A" w:rsidRDefault="18B1AD6B" w:rsidP="00831D99">
      <w:pPr>
        <w:tabs>
          <w:tab w:val="left" w:pos="5610"/>
        </w:tabs>
        <w:ind w:right="81"/>
        <w:jc w:val="both"/>
        <w:rPr>
          <w:rFonts w:cs="Arial"/>
          <w:b/>
          <w:bCs/>
          <w:lang w:val="en-US" w:eastAsia="en-GB"/>
        </w:rPr>
      </w:pPr>
      <w:r>
        <w:t xml:space="preserve">The relevant risks contained in the register are attached/summarised below. </w:t>
      </w:r>
      <w:r w:rsidRPr="1B42CD03">
        <w:rPr>
          <w:rFonts w:cs="Arial"/>
          <w:b/>
          <w:bCs/>
          <w:lang w:val="en-US" w:eastAsia="en-GB"/>
        </w:rPr>
        <w:t>Yes</w:t>
      </w:r>
    </w:p>
    <w:p w14:paraId="45AEB19F" w14:textId="77777777" w:rsidR="00105B8A" w:rsidRDefault="00105B8A" w:rsidP="00640845">
      <w:pPr>
        <w:jc w:val="both"/>
      </w:pPr>
    </w:p>
    <w:p w14:paraId="68B1512C" w14:textId="737024FE" w:rsidR="00C53F1A" w:rsidRDefault="18B1AD6B" w:rsidP="00831D99">
      <w:pPr>
        <w:jc w:val="both"/>
      </w:pPr>
      <w:r>
        <w:lastRenderedPageBreak/>
        <w:t xml:space="preserve">The following key risks should be </w:t>
      </w:r>
      <w:r w:rsidR="009C3B94">
        <w:t>considered</w:t>
      </w:r>
      <w:r>
        <w:t xml:space="preserve"> when agreeing the recommendations in this report:</w:t>
      </w:r>
    </w:p>
    <w:p w14:paraId="4932DE3F" w14:textId="77777777" w:rsidR="00C44B82" w:rsidRDefault="00C44B82" w:rsidP="00831D99">
      <w:pPr>
        <w:jc w:val="both"/>
      </w:pPr>
    </w:p>
    <w:tbl>
      <w:tblPr>
        <w:tblW w:w="8869"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830"/>
        <w:gridCol w:w="3969"/>
        <w:gridCol w:w="2070"/>
      </w:tblGrid>
      <w:tr w:rsidR="000E0049" w14:paraId="45F1C54C" w14:textId="77777777" w:rsidTr="000E0049">
        <w:trPr>
          <w:trHeight w:val="495"/>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83B7B4B" w14:textId="77777777" w:rsidR="000E0049" w:rsidRDefault="000E0049" w:rsidP="004964E8">
            <w:pPr>
              <w:spacing w:line="247" w:lineRule="auto"/>
              <w:ind w:right="141"/>
              <w:jc w:val="both"/>
              <w:rPr>
                <w:rFonts w:cs="Arial"/>
                <w:b/>
                <w:bCs/>
                <w:lang w:val="en-US" w:eastAsia="en-GB"/>
              </w:rPr>
            </w:pPr>
            <w:r w:rsidRPr="1B42CD03">
              <w:rPr>
                <w:rFonts w:cs="Arial"/>
                <w:b/>
                <w:bCs/>
                <w:lang w:val="en-US" w:eastAsia="en-GB"/>
              </w:rPr>
              <w:t>Risk Description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CF5D5BF" w14:textId="77777777" w:rsidR="000E0049" w:rsidRDefault="000E0049" w:rsidP="004964E8">
            <w:pPr>
              <w:spacing w:line="247" w:lineRule="auto"/>
              <w:ind w:right="141"/>
              <w:jc w:val="both"/>
              <w:rPr>
                <w:rFonts w:cs="Arial"/>
                <w:b/>
                <w:bCs/>
                <w:lang w:val="en-US" w:eastAsia="en-GB"/>
              </w:rPr>
            </w:pPr>
            <w:r w:rsidRPr="1B42CD03">
              <w:rPr>
                <w:rFonts w:cs="Arial"/>
                <w:b/>
                <w:bCs/>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15D0A3" w14:textId="77777777" w:rsidR="000E0049" w:rsidRDefault="000E0049" w:rsidP="004964E8">
            <w:pPr>
              <w:spacing w:line="247" w:lineRule="auto"/>
              <w:ind w:left="171" w:right="141"/>
              <w:jc w:val="both"/>
              <w:rPr>
                <w:rFonts w:cs="Arial"/>
                <w:b/>
                <w:bCs/>
                <w:lang w:val="en-US" w:eastAsia="en-GB"/>
              </w:rPr>
            </w:pPr>
            <w:r w:rsidRPr="1B42CD03">
              <w:rPr>
                <w:rFonts w:cs="Arial"/>
                <w:b/>
                <w:bCs/>
                <w:lang w:val="en-US" w:eastAsia="en-GB"/>
              </w:rPr>
              <w:t>RAG Status</w:t>
            </w:r>
          </w:p>
        </w:tc>
      </w:tr>
      <w:tr w:rsidR="000E0049" w14:paraId="1E2420C1" w14:textId="77777777" w:rsidTr="000E004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2AC468" w14:textId="77777777" w:rsidR="000E0049" w:rsidRPr="000E0049" w:rsidRDefault="000E0049" w:rsidP="004964E8">
            <w:pPr>
              <w:pStyle w:val="CommentText"/>
              <w:rPr>
                <w:rFonts w:cs="Arial"/>
                <w:sz w:val="24"/>
                <w:szCs w:val="24"/>
              </w:rPr>
            </w:pPr>
            <w:r w:rsidRPr="000E0049">
              <w:rPr>
                <w:rFonts w:cs="Arial"/>
                <w:sz w:val="24"/>
                <w:szCs w:val="24"/>
              </w:rPr>
              <w:t xml:space="preserve">If the recommendations are not accepted many Harrow properties will fail to meet the Decent Homes standard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BDB4C7" w14:textId="77777777" w:rsidR="000E0049" w:rsidRPr="000E0049"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0E0049">
              <w:rPr>
                <w:rFonts w:cs="Arial"/>
                <w:szCs w:val="24"/>
                <w:lang w:val="en-US"/>
              </w:rPr>
              <w:t>Acceptance of the recommendations in this report will mitigate this risk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ECD1ED0" w14:textId="77777777" w:rsidR="000E0049" w:rsidRPr="00141DB8" w:rsidRDefault="000E0049" w:rsidP="004964E8">
            <w:pPr>
              <w:spacing w:line="247" w:lineRule="auto"/>
              <w:ind w:left="171" w:right="141"/>
              <w:jc w:val="center"/>
              <w:rPr>
                <w:rFonts w:cs="Arial"/>
                <w:b/>
                <w:bCs/>
                <w:lang w:val="en-US" w:eastAsia="en-GB"/>
              </w:rPr>
            </w:pPr>
            <w:r w:rsidRPr="00141DB8">
              <w:rPr>
                <w:rFonts w:cs="Arial"/>
                <w:b/>
                <w:bCs/>
                <w:lang w:val="en-US" w:eastAsia="en-GB"/>
              </w:rPr>
              <w:t>GREEN</w:t>
            </w:r>
          </w:p>
        </w:tc>
      </w:tr>
      <w:tr w:rsidR="000E0049" w14:paraId="6A66FD74" w14:textId="77777777" w:rsidTr="000E004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094415" w14:textId="5CD66AB3" w:rsidR="000E0049" w:rsidRPr="000E0049" w:rsidRDefault="000E0049" w:rsidP="004964E8">
            <w:pPr>
              <w:pStyle w:val="CommentText"/>
              <w:rPr>
                <w:rFonts w:cs="Arial"/>
                <w:sz w:val="24"/>
                <w:szCs w:val="24"/>
              </w:rPr>
            </w:pPr>
            <w:r w:rsidRPr="000E0049">
              <w:rPr>
                <w:rFonts w:eastAsia="Calibri" w:cs="Arial"/>
                <w:sz w:val="24"/>
                <w:szCs w:val="24"/>
              </w:rPr>
              <w:t xml:space="preserve">If the recommendations are not accepted there will be an increase in tenant dissatisfaction and complaints, disrepair claims and repair costs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85CDC4" w14:textId="77777777" w:rsidR="000E0049" w:rsidRPr="000E0049" w:rsidRDefault="000E0049" w:rsidP="004964E8">
            <w:pPr>
              <w:pStyle w:val="ListParagraph"/>
              <w:numPr>
                <w:ilvl w:val="0"/>
                <w:numId w:val="49"/>
              </w:numPr>
              <w:suppressAutoHyphens/>
              <w:autoSpaceDN w:val="0"/>
              <w:spacing w:line="247" w:lineRule="auto"/>
              <w:ind w:left="306" w:right="141" w:hanging="306"/>
              <w:jc w:val="both"/>
              <w:rPr>
                <w:rFonts w:cs="Arial"/>
                <w:szCs w:val="24"/>
                <w:lang w:val="en-US"/>
              </w:rPr>
            </w:pPr>
            <w:r w:rsidRPr="000E0049">
              <w:rPr>
                <w:rFonts w:cs="Arial"/>
                <w:szCs w:val="24"/>
                <w:lang w:val="en-US"/>
              </w:rPr>
              <w:t>Acceptance of the recommendations in this report will mitigate this risk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133C705" w14:textId="77777777" w:rsidR="000E0049" w:rsidRPr="00D843B7" w:rsidRDefault="000E0049" w:rsidP="004964E8">
            <w:pPr>
              <w:spacing w:line="247" w:lineRule="auto"/>
              <w:ind w:left="171" w:right="141"/>
              <w:jc w:val="center"/>
              <w:rPr>
                <w:rFonts w:cs="Arial"/>
                <w:b/>
                <w:bCs/>
                <w:lang w:val="en-US" w:eastAsia="en-GB"/>
              </w:rPr>
            </w:pPr>
            <w:r w:rsidRPr="00D843B7">
              <w:rPr>
                <w:rFonts w:cs="Arial"/>
                <w:b/>
                <w:bCs/>
                <w:lang w:val="en-US" w:eastAsia="en-GB"/>
              </w:rPr>
              <w:t>GREEN</w:t>
            </w:r>
          </w:p>
        </w:tc>
      </w:tr>
      <w:tr w:rsidR="000E0049" w14:paraId="2A33354F" w14:textId="77777777" w:rsidTr="000E004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16480D" w14:textId="77777777" w:rsidR="000E0049" w:rsidRPr="000E0049" w:rsidRDefault="000E0049" w:rsidP="004964E8">
            <w:pPr>
              <w:pStyle w:val="CommentText"/>
              <w:rPr>
                <w:rFonts w:cs="Arial"/>
                <w:sz w:val="24"/>
                <w:szCs w:val="24"/>
              </w:rPr>
            </w:pPr>
            <w:r w:rsidRPr="000E0049">
              <w:rPr>
                <w:rFonts w:cs="Arial"/>
                <w:sz w:val="24"/>
                <w:szCs w:val="24"/>
              </w:rPr>
              <w:t xml:space="preserve">Materials shortages and cost and delivery issues increase costs on the contract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D6C655" w14:textId="77777777" w:rsidR="000E0049" w:rsidRPr="000E0049"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0E0049">
              <w:rPr>
                <w:rFonts w:cs="Arial"/>
                <w:szCs w:val="24"/>
                <w:lang w:val="en-US"/>
              </w:rPr>
              <w:t xml:space="preserve">We will secure assurance on costs by having a 2-year contract in place with contractors and ensure programmes are turned around efficiently to avoid any delays which could aggravate inflation pressures. </w:t>
            </w:r>
          </w:p>
          <w:p w14:paraId="438379C7" w14:textId="77777777" w:rsidR="000E0049" w:rsidRPr="000E0049"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0E0049">
              <w:rPr>
                <w:rFonts w:cs="Arial"/>
                <w:szCs w:val="24"/>
                <w:lang w:val="en-US"/>
              </w:rPr>
              <w:t xml:space="preserve">We will pre-order materials where we can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25E3AB66" w14:textId="77777777" w:rsidR="000E0049" w:rsidRPr="00455B35" w:rsidRDefault="000E0049" w:rsidP="004964E8">
            <w:pPr>
              <w:spacing w:line="247" w:lineRule="auto"/>
              <w:ind w:left="171" w:right="141"/>
              <w:jc w:val="center"/>
              <w:rPr>
                <w:rFonts w:cs="Arial"/>
                <w:b/>
                <w:bCs/>
                <w:lang w:val="en-US" w:eastAsia="en-GB"/>
              </w:rPr>
            </w:pPr>
            <w:r w:rsidRPr="00455B35">
              <w:rPr>
                <w:rFonts w:cs="Arial"/>
                <w:b/>
                <w:bCs/>
                <w:lang w:val="en-US" w:eastAsia="en-GB"/>
              </w:rPr>
              <w:t>AMBER</w:t>
            </w:r>
          </w:p>
        </w:tc>
      </w:tr>
      <w:tr w:rsidR="000E0049" w14:paraId="7EB0D0B8" w14:textId="77777777" w:rsidTr="000E004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90D598" w14:textId="77777777" w:rsidR="000E0049" w:rsidRPr="000E0049" w:rsidRDefault="000E0049" w:rsidP="004964E8">
            <w:pPr>
              <w:pStyle w:val="CommentText"/>
              <w:rPr>
                <w:rFonts w:cs="Arial"/>
                <w:b/>
                <w:bCs/>
                <w:sz w:val="24"/>
                <w:szCs w:val="24"/>
              </w:rPr>
            </w:pPr>
            <w:r w:rsidRPr="000E0049">
              <w:rPr>
                <w:rFonts w:cs="Arial"/>
                <w:sz w:val="24"/>
                <w:szCs w:val="24"/>
              </w:rPr>
              <w:t>The procurement process is not undertaken properly in compliance with Public Procurement Regulations and the Council’s Contract Procedure Rules and Financial Regulations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5EDD0C" w14:textId="1AF7D2AA" w:rsidR="000E0049" w:rsidRPr="000E0049"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0E0049">
              <w:t>We will work closely with the Council’s procurement team throug</w:t>
            </w:r>
            <w:r>
              <w:t>h</w:t>
            </w:r>
            <w:r w:rsidRPr="000E0049">
              <w:t xml:space="preserve">out             the procurement to ensure compliance  </w:t>
            </w:r>
          </w:p>
          <w:p w14:paraId="1652CB03" w14:textId="77777777" w:rsidR="000E0049" w:rsidRPr="000E0049"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0E0049">
              <w:t xml:space="preserve">We will use open market procurement routes as permitted by the Public Contract Regulations 2015. </w:t>
            </w:r>
          </w:p>
          <w:p w14:paraId="0142E7AB" w14:textId="77777777" w:rsidR="000E0049" w:rsidRPr="000E0049"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0E0049">
              <w:t>The Tender exercise for both procurements will also follow Harrow’s standard weighting of:</w:t>
            </w:r>
          </w:p>
          <w:p w14:paraId="7EBE39B9" w14:textId="77777777" w:rsidR="000E0049" w:rsidRPr="000E0049" w:rsidRDefault="000E0049" w:rsidP="004964E8">
            <w:pPr>
              <w:ind w:left="306"/>
            </w:pPr>
            <w:r w:rsidRPr="000E0049">
              <w:t>Price/Commercial – 60%, Quality/Technical – 30%, Social Value, 10%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2B96DA9" w14:textId="77777777" w:rsidR="000E0049" w:rsidRPr="00267D1A" w:rsidRDefault="000E0049" w:rsidP="004964E8">
            <w:pPr>
              <w:spacing w:line="247" w:lineRule="auto"/>
              <w:ind w:left="171" w:right="141"/>
              <w:jc w:val="center"/>
              <w:rPr>
                <w:rFonts w:cs="Arial"/>
                <w:b/>
                <w:bCs/>
                <w:lang w:val="en-US" w:eastAsia="en-GB"/>
              </w:rPr>
            </w:pPr>
            <w:r w:rsidRPr="00267D1A">
              <w:rPr>
                <w:rFonts w:cs="Arial"/>
                <w:b/>
                <w:bCs/>
                <w:lang w:val="en-US" w:eastAsia="en-GB"/>
              </w:rPr>
              <w:t>GREEN</w:t>
            </w:r>
          </w:p>
        </w:tc>
      </w:tr>
      <w:tr w:rsidR="000E0049" w14:paraId="0FE4C1F0" w14:textId="77777777" w:rsidTr="000E0049">
        <w:trPr>
          <w:trHeight w:val="72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442B5D" w14:textId="37A532EA" w:rsidR="000E0049" w:rsidRPr="000E0049" w:rsidRDefault="000E0049" w:rsidP="004964E8">
            <w:pPr>
              <w:spacing w:line="247" w:lineRule="auto"/>
              <w:ind w:right="141"/>
              <w:jc w:val="both"/>
              <w:rPr>
                <w:rFonts w:cs="Arial"/>
                <w:szCs w:val="24"/>
                <w:lang w:val="en-US" w:eastAsia="en-GB"/>
              </w:rPr>
            </w:pPr>
            <w:r w:rsidRPr="000E0049">
              <w:rPr>
                <w:rFonts w:eastAsia="Calibri" w:cs="Arial"/>
                <w:szCs w:val="24"/>
                <w:lang w:val="en-US"/>
              </w:rPr>
              <w:t>Specialist contractors are not att</w:t>
            </w:r>
            <w:r>
              <w:rPr>
                <w:rFonts w:eastAsia="Calibri" w:cs="Arial"/>
                <w:szCs w:val="24"/>
                <w:lang w:val="en-US"/>
              </w:rPr>
              <w:t>r</w:t>
            </w:r>
            <w:r w:rsidRPr="000E0049">
              <w:rPr>
                <w:rFonts w:eastAsia="Calibri" w:cs="Arial"/>
                <w:szCs w:val="24"/>
                <w:lang w:val="en-US"/>
              </w:rPr>
              <w:t xml:space="preserve">acted to the work during the procurement of the contract and these contractors are required for project success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4066D4" w14:textId="77777777" w:rsidR="000E0049" w:rsidRPr="000E0049"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0E0049">
              <w:rPr>
                <w:rFonts w:eastAsia="Calibri" w:cs="Arial"/>
                <w:szCs w:val="24"/>
              </w:rPr>
              <w:t xml:space="preserve">By tendering to the ‘Open Market tender’ and listing the elements of work specific to the project in the ITT Kitchen &amp; bathroom and Windows &amp; Doors contractors will be sourced. </w:t>
            </w:r>
          </w:p>
          <w:p w14:paraId="6BB596E6" w14:textId="77777777" w:rsidR="000E0049" w:rsidRPr="000E0049"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0E0049">
              <w:rPr>
                <w:rFonts w:eastAsia="Calibri" w:cs="Arial"/>
                <w:szCs w:val="24"/>
              </w:rPr>
              <w:lastRenderedPageBreak/>
              <w:t>Contactors will be experienced and have knowledge in delivering in these areas of work.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738F189B" w14:textId="77777777" w:rsidR="000E0049" w:rsidRDefault="000E0049" w:rsidP="004964E8">
            <w:pPr>
              <w:spacing w:line="247" w:lineRule="auto"/>
              <w:ind w:right="141"/>
              <w:jc w:val="center"/>
              <w:rPr>
                <w:rFonts w:cs="Arial"/>
                <w:b/>
                <w:bCs/>
                <w:lang w:val="en-US" w:eastAsia="en-GB"/>
              </w:rPr>
            </w:pPr>
          </w:p>
          <w:p w14:paraId="63665A7F" w14:textId="77777777" w:rsidR="000E0049" w:rsidRDefault="000E0049" w:rsidP="004964E8">
            <w:pPr>
              <w:spacing w:line="247" w:lineRule="auto"/>
              <w:ind w:right="141"/>
              <w:jc w:val="center"/>
              <w:rPr>
                <w:rFonts w:cs="Arial"/>
                <w:b/>
                <w:bCs/>
                <w:lang w:val="en-US" w:eastAsia="en-GB"/>
              </w:rPr>
            </w:pPr>
          </w:p>
          <w:p w14:paraId="0492F474" w14:textId="77777777" w:rsidR="000E0049" w:rsidRDefault="000E0049" w:rsidP="004964E8">
            <w:pPr>
              <w:spacing w:line="247" w:lineRule="auto"/>
              <w:ind w:right="141"/>
              <w:jc w:val="center"/>
              <w:rPr>
                <w:rFonts w:cs="Arial"/>
                <w:b/>
                <w:bCs/>
                <w:lang w:val="en-US" w:eastAsia="en-GB"/>
              </w:rPr>
            </w:pPr>
          </w:p>
          <w:p w14:paraId="306AE520" w14:textId="2473ABCF" w:rsidR="000E0049" w:rsidRPr="003E732D" w:rsidRDefault="000E0049" w:rsidP="004964E8">
            <w:pPr>
              <w:spacing w:line="247" w:lineRule="auto"/>
              <w:ind w:right="141"/>
              <w:jc w:val="center"/>
              <w:rPr>
                <w:rFonts w:cs="Arial"/>
                <w:b/>
                <w:bCs/>
                <w:lang w:val="en-US" w:eastAsia="en-GB"/>
              </w:rPr>
            </w:pPr>
            <w:r w:rsidRPr="003E732D">
              <w:rPr>
                <w:rFonts w:cs="Arial"/>
                <w:b/>
                <w:bCs/>
                <w:lang w:val="en-US" w:eastAsia="en-GB"/>
              </w:rPr>
              <w:t xml:space="preserve">GREEN </w:t>
            </w:r>
          </w:p>
        </w:tc>
      </w:tr>
      <w:tr w:rsidR="000E0049" w14:paraId="7E4DDA84" w14:textId="77777777" w:rsidTr="000E0049">
        <w:trPr>
          <w:trHeight w:val="83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F0C856" w14:textId="77777777" w:rsidR="000E0049" w:rsidRPr="000E0049" w:rsidRDefault="000E0049" w:rsidP="004964E8">
            <w:pPr>
              <w:pStyle w:val="CommentText"/>
              <w:rPr>
                <w:rFonts w:cs="Arial"/>
                <w:sz w:val="24"/>
                <w:szCs w:val="24"/>
              </w:rPr>
            </w:pPr>
            <w:r w:rsidRPr="000E0049">
              <w:rPr>
                <w:rFonts w:cs="Arial"/>
                <w:sz w:val="24"/>
                <w:szCs w:val="24"/>
              </w:rPr>
              <w:t xml:space="preserve">Arrangements for contract management are not adequate or effective leading to poor quality work and delays on the contract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427545" w14:textId="77777777" w:rsidR="000E0049" w:rsidRPr="000E0049"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0E0049">
              <w:t>Contractors will be overseen and managed by the Planned Investment Team</w:t>
            </w:r>
          </w:p>
          <w:p w14:paraId="3D998C5E" w14:textId="77777777" w:rsidR="000E0049" w:rsidRPr="000E0049"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0E0049">
              <w:rPr>
                <w:rFonts w:cs="Arial"/>
                <w:szCs w:val="24"/>
                <w:lang w:val="en-US"/>
              </w:rPr>
              <w:t xml:space="preserve">Contracts are adequately resourced internally </w:t>
            </w:r>
            <w:proofErr w:type="gramStart"/>
            <w:r w:rsidRPr="000E0049">
              <w:rPr>
                <w:rFonts w:cs="Arial"/>
                <w:szCs w:val="24"/>
                <w:lang w:val="en-US"/>
              </w:rPr>
              <w:t>and also</w:t>
            </w:r>
            <w:proofErr w:type="gramEnd"/>
            <w:r w:rsidRPr="000E0049">
              <w:rPr>
                <w:rFonts w:cs="Arial"/>
                <w:szCs w:val="24"/>
                <w:lang w:val="en-US"/>
              </w:rPr>
              <w:t xml:space="preserve"> inspected and quality assured by a dedicated Clerk of Works.</w:t>
            </w:r>
          </w:p>
          <w:p w14:paraId="46AAC3BF" w14:textId="77777777" w:rsidR="000E0049" w:rsidRPr="000E0049"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0E0049">
              <w:t>Performance statistics will be reviewed monthly and monitored</w:t>
            </w:r>
          </w:p>
          <w:p w14:paraId="202448CF" w14:textId="77777777" w:rsidR="000E0049" w:rsidRPr="000E0049"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0E0049">
              <w:t>There will be effective and regular communication between the contractors and the Council whilst works are underway to ensure progress with delivery.</w:t>
            </w:r>
          </w:p>
          <w:p w14:paraId="2B09FF8C" w14:textId="77777777" w:rsidR="000E0049" w:rsidRPr="000E0049"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0E0049">
              <w:t>We intend to form monthly project groups, inviting residents and Members to support the management and monitoring of the schemes throughout their implementation.</w:t>
            </w:r>
          </w:p>
          <w:p w14:paraId="399D693D" w14:textId="77777777" w:rsidR="000E0049" w:rsidRPr="000E0049"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0E0049">
              <w:t>Works are covered for a DLP (Defects Liability Period) for 1 year from commission.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6DB18A8" w14:textId="77777777" w:rsidR="000E0049" w:rsidRPr="00A07A9A" w:rsidRDefault="000E0049" w:rsidP="004964E8">
            <w:pPr>
              <w:spacing w:line="247" w:lineRule="auto"/>
              <w:ind w:right="141"/>
              <w:jc w:val="center"/>
              <w:rPr>
                <w:rFonts w:cs="Arial"/>
                <w:b/>
                <w:bCs/>
                <w:lang w:val="en-US" w:eastAsia="en-GB"/>
              </w:rPr>
            </w:pPr>
            <w:r w:rsidRPr="00A07A9A">
              <w:rPr>
                <w:rFonts w:cs="Arial"/>
                <w:b/>
                <w:bCs/>
                <w:lang w:val="en-US" w:eastAsia="en-GB"/>
              </w:rPr>
              <w:t>GREEN</w:t>
            </w:r>
          </w:p>
        </w:tc>
      </w:tr>
    </w:tbl>
    <w:p w14:paraId="0249BBDB" w14:textId="1CC95DFB" w:rsidR="002A3FEF" w:rsidRDefault="008267BD">
      <w:pPr>
        <w:pStyle w:val="Heading3"/>
        <w:spacing w:before="480" w:after="240"/>
      </w:pPr>
      <w:bookmarkStart w:id="3" w:name="_Hlk60923639"/>
      <w:bookmarkEnd w:id="0"/>
      <w:bookmarkEnd w:id="1"/>
      <w:r>
        <w:rPr>
          <w:bCs w:val="0"/>
        </w:rPr>
        <w:t>7</w:t>
      </w:r>
      <w:r w:rsidR="00CC4AD4" w:rsidRPr="008267BD">
        <w:rPr>
          <w:bCs w:val="0"/>
        </w:rPr>
        <w:t>.0</w:t>
      </w:r>
      <w:r w:rsidR="00061ADC" w:rsidRPr="00640845">
        <w:rPr>
          <w:b w:val="0"/>
        </w:rPr>
        <w:t xml:space="preserve"> </w:t>
      </w:r>
      <w:r w:rsidR="00061ADC">
        <w:tab/>
      </w:r>
      <w:bookmarkEnd w:id="2"/>
      <w:bookmarkEnd w:id="3"/>
      <w:r w:rsidR="31AD9911">
        <w:t>Procurement Implications</w:t>
      </w:r>
    </w:p>
    <w:p w14:paraId="47148576" w14:textId="1BA89337" w:rsidR="00817330" w:rsidRDefault="008267BD" w:rsidP="00817330">
      <w:pPr>
        <w:ind w:left="720" w:hanging="720"/>
        <w:jc w:val="both"/>
        <w:outlineLvl w:val="1"/>
      </w:pPr>
      <w:r>
        <w:t>7</w:t>
      </w:r>
      <w:r w:rsidR="00061ADC">
        <w:t>.</w:t>
      </w:r>
      <w:r w:rsidR="00CC4AD4">
        <w:t>1</w:t>
      </w:r>
      <w:r w:rsidR="00061ADC">
        <w:tab/>
      </w:r>
      <w:r w:rsidR="0000437A">
        <w:t xml:space="preserve"> </w:t>
      </w:r>
      <w:r w:rsidR="00817330">
        <w:t>The estimated value of this procurement is below the financial threshold for Works contracts.  Any procurement arising from this report will be advised on and supported by the procurement team and will be conducted in compliance with the Public Contract Regulations [as amended] and the Contract Procedure Rules.</w:t>
      </w:r>
    </w:p>
    <w:p w14:paraId="44B4A5AB" w14:textId="2C7AD4E9" w:rsidR="0000437A" w:rsidRDefault="0000437A" w:rsidP="00FC2CFD">
      <w:pPr>
        <w:ind w:left="720" w:hanging="720"/>
        <w:jc w:val="both"/>
        <w:outlineLvl w:val="1"/>
      </w:pPr>
    </w:p>
    <w:p w14:paraId="6144650A" w14:textId="77777777" w:rsidR="0000437A" w:rsidRDefault="0000437A" w:rsidP="0000437A">
      <w:pPr>
        <w:jc w:val="both"/>
        <w:outlineLvl w:val="1"/>
      </w:pPr>
    </w:p>
    <w:p w14:paraId="249AC521" w14:textId="30C203A4" w:rsidR="00233C09" w:rsidRDefault="008267BD" w:rsidP="00817330">
      <w:pPr>
        <w:ind w:left="720" w:hanging="720"/>
        <w:jc w:val="both"/>
        <w:outlineLvl w:val="1"/>
      </w:pPr>
      <w:r>
        <w:t>7</w:t>
      </w:r>
      <w:r w:rsidR="00CD7F33">
        <w:t>.</w:t>
      </w:r>
      <w:r w:rsidR="00CC4AD4">
        <w:t>2</w:t>
      </w:r>
      <w:r w:rsidR="00CD7F33">
        <w:tab/>
      </w:r>
      <w:r w:rsidR="00233C09">
        <w:t xml:space="preserve">Bidders will be required to provide technical and commercial submissions, with all Tenders being evaluated for both their technical and commercial suitability in relation to the Authority’s Requirements. </w:t>
      </w:r>
    </w:p>
    <w:p w14:paraId="2B76F4A0" w14:textId="0D2066A1" w:rsidR="00CE453E" w:rsidRDefault="00CE453E" w:rsidP="00233C09">
      <w:pPr>
        <w:ind w:left="720"/>
        <w:jc w:val="both"/>
        <w:outlineLvl w:val="1"/>
      </w:pPr>
    </w:p>
    <w:p w14:paraId="4B5378A9" w14:textId="77777777" w:rsidR="0000437A" w:rsidRDefault="0000437A" w:rsidP="0000437A">
      <w:pPr>
        <w:jc w:val="both"/>
        <w:outlineLvl w:val="1"/>
      </w:pPr>
    </w:p>
    <w:p w14:paraId="2D6B8B21" w14:textId="46A2B7BA" w:rsidR="00817330" w:rsidRDefault="008267BD" w:rsidP="00817330">
      <w:pPr>
        <w:ind w:left="720" w:hanging="720"/>
        <w:jc w:val="both"/>
        <w:outlineLvl w:val="1"/>
      </w:pPr>
      <w:r>
        <w:t>7</w:t>
      </w:r>
      <w:r w:rsidR="00CC4AD4">
        <w:t>.3</w:t>
      </w:r>
      <w:r w:rsidR="00CD7F33">
        <w:tab/>
      </w:r>
      <w:r w:rsidR="00817330">
        <w:t xml:space="preserve">The proposed procurement process will be the open tender </w:t>
      </w:r>
      <w:r w:rsidR="003122E4">
        <w:t>procedure;</w:t>
      </w:r>
      <w:r w:rsidR="00817330">
        <w:t xml:space="preserve"> this will allow for bids from local SMEs and specialist contractors.</w:t>
      </w:r>
    </w:p>
    <w:p w14:paraId="11C5339A" w14:textId="6708749F" w:rsidR="00817330" w:rsidRDefault="00817330" w:rsidP="00817330">
      <w:pPr>
        <w:ind w:left="720"/>
        <w:jc w:val="both"/>
        <w:outlineLvl w:val="1"/>
      </w:pPr>
      <w:r>
        <w:t>Bidders will be measured on both their quality and commercial submissions. The Most Economically Advantageous Tender will be recommended for award of the contract.</w:t>
      </w:r>
    </w:p>
    <w:p w14:paraId="4A6EEB3A" w14:textId="77777777" w:rsidR="008267BD" w:rsidRDefault="008267BD" w:rsidP="00817330">
      <w:pPr>
        <w:ind w:left="720"/>
        <w:jc w:val="both"/>
        <w:outlineLvl w:val="1"/>
      </w:pPr>
    </w:p>
    <w:p w14:paraId="0146C71E" w14:textId="77777777" w:rsidR="008817C2" w:rsidRPr="00582471" w:rsidRDefault="008817C2" w:rsidP="00640845">
      <w:pPr>
        <w:jc w:val="both"/>
        <w:rPr>
          <w:rFonts w:cs="Arial"/>
          <w:b/>
          <w:bCs/>
        </w:rPr>
      </w:pPr>
    </w:p>
    <w:p w14:paraId="13516A45" w14:textId="22042B4C" w:rsidR="008817C2" w:rsidRPr="00582471" w:rsidRDefault="008267BD" w:rsidP="00640845">
      <w:pPr>
        <w:jc w:val="both"/>
        <w:rPr>
          <w:rFonts w:cs="Arial"/>
          <w:b/>
          <w:bCs/>
          <w:sz w:val="28"/>
          <w:szCs w:val="28"/>
        </w:rPr>
      </w:pPr>
      <w:r>
        <w:rPr>
          <w:rFonts w:cs="Arial"/>
          <w:b/>
          <w:bCs/>
          <w:sz w:val="28"/>
          <w:szCs w:val="28"/>
        </w:rPr>
        <w:lastRenderedPageBreak/>
        <w:t>8</w:t>
      </w:r>
      <w:r w:rsidR="00CC4AD4">
        <w:rPr>
          <w:rFonts w:cs="Arial"/>
          <w:b/>
          <w:bCs/>
          <w:sz w:val="28"/>
          <w:szCs w:val="28"/>
        </w:rPr>
        <w:t>.0</w:t>
      </w:r>
      <w:r w:rsidR="3951D2A0" w:rsidRPr="00582471">
        <w:rPr>
          <w:rFonts w:cs="Arial"/>
          <w:b/>
          <w:bCs/>
          <w:sz w:val="28"/>
          <w:szCs w:val="28"/>
        </w:rPr>
        <w:t xml:space="preserve"> </w:t>
      </w:r>
      <w:r w:rsidR="00061ADC" w:rsidRPr="00582471">
        <w:rPr>
          <w:rFonts w:cs="Arial"/>
          <w:b/>
          <w:bCs/>
          <w:sz w:val="28"/>
          <w:szCs w:val="28"/>
        </w:rPr>
        <w:tab/>
      </w:r>
      <w:r w:rsidR="3951D2A0" w:rsidRPr="00582471">
        <w:rPr>
          <w:rFonts w:cs="Arial"/>
          <w:b/>
          <w:bCs/>
          <w:sz w:val="28"/>
          <w:szCs w:val="28"/>
        </w:rPr>
        <w:t>Legal Implications</w:t>
      </w:r>
    </w:p>
    <w:p w14:paraId="509C1A5F" w14:textId="77777777" w:rsidR="004C3C52" w:rsidRDefault="004C3C52" w:rsidP="004C3C52">
      <w:pPr>
        <w:ind w:left="720" w:hanging="720"/>
        <w:jc w:val="both"/>
        <w:rPr>
          <w:rFonts w:cs="Arial"/>
        </w:rPr>
      </w:pPr>
    </w:p>
    <w:p w14:paraId="76B1C406" w14:textId="651F7193" w:rsidR="00EC070D" w:rsidRDefault="008267BD" w:rsidP="004C3C52">
      <w:pPr>
        <w:ind w:left="720" w:hanging="720"/>
        <w:jc w:val="both"/>
        <w:rPr>
          <w:rFonts w:cs="Arial"/>
        </w:rPr>
      </w:pPr>
      <w:r>
        <w:rPr>
          <w:rFonts w:cs="Arial"/>
        </w:rPr>
        <w:t>8</w:t>
      </w:r>
      <w:r w:rsidR="00CC4AD4">
        <w:rPr>
          <w:rFonts w:cs="Arial"/>
        </w:rPr>
        <w:t>.1</w:t>
      </w:r>
      <w:r w:rsidR="004C3C52">
        <w:rPr>
          <w:rFonts w:cs="Arial"/>
        </w:rPr>
        <w:tab/>
      </w:r>
      <w:r w:rsidR="00EC070D">
        <w:rPr>
          <w:rFonts w:cs="Arial"/>
        </w:rPr>
        <w:t xml:space="preserve">The </w:t>
      </w:r>
      <w:r w:rsidR="00A855C5">
        <w:rPr>
          <w:rFonts w:cs="Arial"/>
        </w:rPr>
        <w:t>total</w:t>
      </w:r>
      <w:r w:rsidR="00EC070D">
        <w:rPr>
          <w:rFonts w:cs="Arial"/>
        </w:rPr>
        <w:t xml:space="preserve"> </w:t>
      </w:r>
      <w:r w:rsidR="00A855C5">
        <w:rPr>
          <w:rFonts w:cs="Arial"/>
        </w:rPr>
        <w:t xml:space="preserve">estimated </w:t>
      </w:r>
      <w:r w:rsidR="00EC070D">
        <w:rPr>
          <w:rFonts w:cs="Arial"/>
        </w:rPr>
        <w:t xml:space="preserve">value (including VAT) of </w:t>
      </w:r>
      <w:r w:rsidR="00A855C5">
        <w:rPr>
          <w:rFonts w:cs="Arial"/>
        </w:rPr>
        <w:t xml:space="preserve">each </w:t>
      </w:r>
      <w:r w:rsidR="00EC070D">
        <w:rPr>
          <w:rFonts w:cs="Arial"/>
        </w:rPr>
        <w:t xml:space="preserve">programme </w:t>
      </w:r>
      <w:r w:rsidR="00A855C5">
        <w:rPr>
          <w:rFonts w:cs="Arial"/>
        </w:rPr>
        <w:t xml:space="preserve">is below the financial threshold for public works under the Public Contracts Regulations 2015 </w:t>
      </w:r>
      <w:r w:rsidR="00A855C5" w:rsidRPr="00A855C5">
        <w:rPr>
          <w:rFonts w:cs="Arial"/>
        </w:rPr>
        <w:t xml:space="preserve">(currently </w:t>
      </w:r>
      <w:r w:rsidR="009A725D" w:rsidRPr="009A725D">
        <w:rPr>
          <w:rFonts w:cs="Arial"/>
        </w:rPr>
        <w:t>£</w:t>
      </w:r>
      <w:r w:rsidR="00A855C5" w:rsidRPr="004B0F7C">
        <w:rPr>
          <w:rFonts w:cs="Arial"/>
          <w:shd w:val="clear" w:color="auto" w:fill="FFFFFF"/>
        </w:rPr>
        <w:t>5,336,937)</w:t>
      </w:r>
      <w:r w:rsidR="00EC070D" w:rsidRPr="009A725D">
        <w:rPr>
          <w:rFonts w:cs="Arial"/>
        </w:rPr>
        <w:t xml:space="preserve">. </w:t>
      </w:r>
      <w:r w:rsidR="00EB7DEB">
        <w:rPr>
          <w:rFonts w:cs="Arial"/>
        </w:rPr>
        <w:t>Therefore,</w:t>
      </w:r>
      <w:r w:rsidR="00A855C5">
        <w:rPr>
          <w:rFonts w:cs="Arial"/>
        </w:rPr>
        <w:t xml:space="preserve"> the main provisions of the Public Contracts Regulations do not apply to the respective procurement exercises. T</w:t>
      </w:r>
      <w:r w:rsidR="00EC070D">
        <w:rPr>
          <w:rFonts w:cs="Arial"/>
        </w:rPr>
        <w:t>he Procurement team have</w:t>
      </w:r>
      <w:r w:rsidR="00A855C5">
        <w:rPr>
          <w:rFonts w:cs="Arial"/>
        </w:rPr>
        <w:t xml:space="preserve"> however</w:t>
      </w:r>
      <w:r w:rsidR="00EC070D">
        <w:rPr>
          <w:rFonts w:cs="Arial"/>
        </w:rPr>
        <w:t xml:space="preserve"> indicated that an open tender procedure in accordance with the Public Contracts Regulations and the Council’s Contract Procedure Rules will be carried out.</w:t>
      </w:r>
    </w:p>
    <w:p w14:paraId="099002D7" w14:textId="77777777" w:rsidR="004C3C52" w:rsidRDefault="004C3C52" w:rsidP="004C3C52">
      <w:pPr>
        <w:ind w:left="720" w:hanging="720"/>
        <w:jc w:val="both"/>
        <w:rPr>
          <w:rFonts w:cs="Arial"/>
        </w:rPr>
      </w:pPr>
    </w:p>
    <w:p w14:paraId="1CBA1F7B" w14:textId="12C569D9" w:rsidR="00EC070D" w:rsidRDefault="008267BD" w:rsidP="004C3C52">
      <w:pPr>
        <w:ind w:left="720" w:hanging="720"/>
        <w:jc w:val="both"/>
        <w:rPr>
          <w:rFonts w:cs="Arial"/>
        </w:rPr>
      </w:pPr>
      <w:r>
        <w:rPr>
          <w:rFonts w:cs="Arial"/>
        </w:rPr>
        <w:t>8</w:t>
      </w:r>
      <w:r w:rsidR="00CC4AD4">
        <w:rPr>
          <w:rFonts w:cs="Arial"/>
        </w:rPr>
        <w:t>.2</w:t>
      </w:r>
      <w:r w:rsidR="004C3C52">
        <w:rPr>
          <w:rFonts w:cs="Arial"/>
        </w:rPr>
        <w:tab/>
      </w:r>
      <w:r w:rsidR="00EC070D">
        <w:rPr>
          <w:rFonts w:cs="Arial"/>
        </w:rPr>
        <w:t xml:space="preserve">This will ensure that a robust, fair, </w:t>
      </w:r>
      <w:proofErr w:type="gramStart"/>
      <w:r w:rsidR="00EC070D">
        <w:rPr>
          <w:rFonts w:cs="Arial"/>
        </w:rPr>
        <w:t>transparent</w:t>
      </w:r>
      <w:proofErr w:type="gramEnd"/>
      <w:r w:rsidR="00EC070D">
        <w:rPr>
          <w:rFonts w:cs="Arial"/>
        </w:rPr>
        <w:t xml:space="preserve"> and non-discriminatory competitive process is </w:t>
      </w:r>
      <w:r w:rsidR="00A855C5">
        <w:rPr>
          <w:rFonts w:cs="Arial"/>
        </w:rPr>
        <w:t>conducted</w:t>
      </w:r>
      <w:r w:rsidR="00EC070D">
        <w:rPr>
          <w:rFonts w:cs="Arial"/>
        </w:rPr>
        <w:t>, to select contractors who have demonstrated good technical ability, good financial standing, with solutions that will provide value for money.</w:t>
      </w:r>
    </w:p>
    <w:p w14:paraId="19481220" w14:textId="77777777" w:rsidR="004C3C52" w:rsidRDefault="004C3C52" w:rsidP="00EC070D">
      <w:pPr>
        <w:jc w:val="both"/>
        <w:rPr>
          <w:rFonts w:cs="Arial"/>
        </w:rPr>
      </w:pPr>
    </w:p>
    <w:p w14:paraId="5234CA61" w14:textId="06122915" w:rsidR="008600D4" w:rsidRDefault="008267BD" w:rsidP="004C3C52">
      <w:pPr>
        <w:ind w:left="720" w:hanging="720"/>
        <w:jc w:val="both"/>
        <w:rPr>
          <w:rFonts w:cs="Arial"/>
        </w:rPr>
      </w:pPr>
      <w:r>
        <w:rPr>
          <w:rFonts w:cs="Arial"/>
        </w:rPr>
        <w:t>8</w:t>
      </w:r>
      <w:r w:rsidR="00CC4AD4">
        <w:rPr>
          <w:rFonts w:cs="Arial"/>
        </w:rPr>
        <w:t>.3</w:t>
      </w:r>
      <w:r w:rsidR="004C3C52">
        <w:rPr>
          <w:rFonts w:cs="Arial"/>
        </w:rPr>
        <w:tab/>
      </w:r>
      <w:r w:rsidR="008600D4">
        <w:rPr>
          <w:rFonts w:cs="Arial"/>
        </w:rPr>
        <w:t xml:space="preserve">As the estimated value of </w:t>
      </w:r>
      <w:r w:rsidR="00A855C5">
        <w:rPr>
          <w:rFonts w:cs="Arial"/>
        </w:rPr>
        <w:t>each programme</w:t>
      </w:r>
      <w:r w:rsidR="008600D4">
        <w:rPr>
          <w:rFonts w:cs="Arial"/>
        </w:rPr>
        <w:t xml:space="preserve"> is above £500,000, approval to procure must be obtain</w:t>
      </w:r>
      <w:r w:rsidR="0053602C">
        <w:rPr>
          <w:rFonts w:cs="Arial"/>
        </w:rPr>
        <w:t>ed</w:t>
      </w:r>
      <w:r w:rsidR="008600D4">
        <w:rPr>
          <w:rFonts w:cs="Arial"/>
        </w:rPr>
        <w:t xml:space="preserve"> by way of </w:t>
      </w:r>
      <w:r w:rsidR="00A855C5">
        <w:rPr>
          <w:rFonts w:cs="Arial"/>
        </w:rPr>
        <w:t>a</w:t>
      </w:r>
      <w:r w:rsidR="008600D4">
        <w:rPr>
          <w:rFonts w:cs="Arial"/>
        </w:rPr>
        <w:t xml:space="preserve"> Cabinet Report, as required under the Council’s Contract Procedure Rules </w:t>
      </w:r>
      <w:r w:rsidR="008600D4" w:rsidRPr="008600D4">
        <w:rPr>
          <w:rFonts w:cs="Arial"/>
          <w:i/>
          <w:iCs/>
        </w:rPr>
        <w:t xml:space="preserve">Table 1 Authorisation and Acceptance </w:t>
      </w:r>
      <w:r w:rsidR="00F00946">
        <w:rPr>
          <w:rFonts w:cs="Arial"/>
          <w:i/>
          <w:iCs/>
        </w:rPr>
        <w:t>T</w:t>
      </w:r>
      <w:r w:rsidR="008600D4" w:rsidRPr="008600D4">
        <w:rPr>
          <w:rFonts w:cs="Arial"/>
          <w:i/>
          <w:iCs/>
        </w:rPr>
        <w:t>hresholds</w:t>
      </w:r>
      <w:r w:rsidR="008600D4">
        <w:rPr>
          <w:rFonts w:cs="Arial"/>
          <w:i/>
          <w:iCs/>
        </w:rPr>
        <w:t>.</w:t>
      </w:r>
    </w:p>
    <w:p w14:paraId="759CCDD5" w14:textId="77777777" w:rsidR="008600D4" w:rsidRDefault="008600D4" w:rsidP="004C3C52">
      <w:pPr>
        <w:ind w:left="720" w:hanging="720"/>
        <w:jc w:val="both"/>
        <w:rPr>
          <w:rFonts w:cs="Arial"/>
        </w:rPr>
      </w:pPr>
    </w:p>
    <w:p w14:paraId="2B566A8E" w14:textId="0C2893A6" w:rsidR="00EC070D" w:rsidRDefault="008267BD" w:rsidP="004C3C52">
      <w:pPr>
        <w:ind w:left="720" w:hanging="720"/>
        <w:jc w:val="both"/>
        <w:rPr>
          <w:rFonts w:cs="Arial"/>
        </w:rPr>
      </w:pPr>
      <w:r>
        <w:rPr>
          <w:rFonts w:cs="Arial"/>
        </w:rPr>
        <w:t>8</w:t>
      </w:r>
      <w:r w:rsidR="00CC4AD4">
        <w:rPr>
          <w:rFonts w:cs="Arial"/>
        </w:rPr>
        <w:t>.4</w:t>
      </w:r>
      <w:r w:rsidR="008600D4">
        <w:rPr>
          <w:rFonts w:cs="Arial"/>
        </w:rPr>
        <w:tab/>
      </w:r>
      <w:r w:rsidR="00EC070D">
        <w:rPr>
          <w:rFonts w:cs="Arial"/>
        </w:rPr>
        <w:t xml:space="preserve">The proposed </w:t>
      </w:r>
      <w:r w:rsidR="0053602C">
        <w:rPr>
          <w:rFonts w:cs="Arial"/>
        </w:rPr>
        <w:t xml:space="preserve">renewal programmes </w:t>
      </w:r>
      <w:r w:rsidR="00EC070D">
        <w:rPr>
          <w:rFonts w:cs="Arial"/>
        </w:rPr>
        <w:t xml:space="preserve">will </w:t>
      </w:r>
      <w:r w:rsidR="008600D4">
        <w:rPr>
          <w:rFonts w:cs="Arial"/>
        </w:rPr>
        <w:t xml:space="preserve">help </w:t>
      </w:r>
      <w:r w:rsidR="00EC070D">
        <w:rPr>
          <w:rFonts w:cs="Arial"/>
        </w:rPr>
        <w:t>contribute to the achievement of the Council’s social,</w:t>
      </w:r>
      <w:r w:rsidR="009A725D">
        <w:rPr>
          <w:rFonts w:cs="Arial"/>
        </w:rPr>
        <w:t xml:space="preserve"> </w:t>
      </w:r>
      <w:proofErr w:type="gramStart"/>
      <w:r w:rsidR="00EC070D">
        <w:rPr>
          <w:rFonts w:cs="Arial"/>
        </w:rPr>
        <w:t>economic</w:t>
      </w:r>
      <w:proofErr w:type="gramEnd"/>
      <w:r w:rsidR="00EC070D">
        <w:rPr>
          <w:rFonts w:cs="Arial"/>
        </w:rPr>
        <w:t xml:space="preserve"> and environmental objectives</w:t>
      </w:r>
      <w:r w:rsidR="004C3C52">
        <w:rPr>
          <w:rFonts w:cs="Arial"/>
        </w:rPr>
        <w:t xml:space="preserve"> and will ensure that the </w:t>
      </w:r>
      <w:r w:rsidR="00A855C5">
        <w:rPr>
          <w:rFonts w:cs="Arial"/>
        </w:rPr>
        <w:t xml:space="preserve">quality of the Council’s </w:t>
      </w:r>
      <w:r w:rsidR="004C3C52">
        <w:rPr>
          <w:rFonts w:cs="Arial"/>
        </w:rPr>
        <w:t xml:space="preserve">housing stock </w:t>
      </w:r>
      <w:r w:rsidR="00A855C5">
        <w:rPr>
          <w:rFonts w:cs="Arial"/>
        </w:rPr>
        <w:t>is in line with</w:t>
      </w:r>
      <w:r w:rsidR="004C3C52">
        <w:rPr>
          <w:rFonts w:cs="Arial"/>
        </w:rPr>
        <w:t xml:space="preserve"> Decent Homes Standards.</w:t>
      </w:r>
    </w:p>
    <w:p w14:paraId="3AC326F9" w14:textId="77777777" w:rsidR="004C3C52" w:rsidRDefault="004C3C52" w:rsidP="00EC070D">
      <w:pPr>
        <w:jc w:val="both"/>
        <w:rPr>
          <w:rFonts w:cs="Arial"/>
        </w:rPr>
      </w:pPr>
    </w:p>
    <w:p w14:paraId="2D429E42" w14:textId="3B69F7C7" w:rsidR="00EC070D" w:rsidRDefault="008267BD" w:rsidP="004C3C52">
      <w:pPr>
        <w:ind w:left="720" w:hanging="720"/>
        <w:jc w:val="both"/>
        <w:rPr>
          <w:rFonts w:cs="Arial"/>
        </w:rPr>
      </w:pPr>
      <w:r>
        <w:rPr>
          <w:rFonts w:cs="Arial"/>
        </w:rPr>
        <w:t>8</w:t>
      </w:r>
      <w:r w:rsidR="00CC4AD4">
        <w:rPr>
          <w:rFonts w:cs="Arial"/>
        </w:rPr>
        <w:t>.5</w:t>
      </w:r>
      <w:r w:rsidR="004C3C52">
        <w:rPr>
          <w:rFonts w:cs="Arial"/>
        </w:rPr>
        <w:tab/>
      </w:r>
      <w:r w:rsidR="00EC070D">
        <w:rPr>
          <w:rFonts w:cs="Arial"/>
        </w:rPr>
        <w:t xml:space="preserve">HB Public </w:t>
      </w:r>
      <w:r w:rsidR="00CB1607">
        <w:rPr>
          <w:rFonts w:cs="Arial"/>
        </w:rPr>
        <w:t xml:space="preserve">Law </w:t>
      </w:r>
      <w:r w:rsidR="00EC070D">
        <w:rPr>
          <w:rFonts w:cs="Arial"/>
        </w:rPr>
        <w:t>will assist with the preparation of the works contracts and will ensure that they are executed in accordance with the Council’s Contract Procedure Rules on signing and sealing.</w:t>
      </w:r>
    </w:p>
    <w:p w14:paraId="6630BD27" w14:textId="4DE19AEF" w:rsidR="003C100D" w:rsidRDefault="003C100D" w:rsidP="004C3C52">
      <w:pPr>
        <w:ind w:left="720" w:hanging="720"/>
        <w:jc w:val="both"/>
        <w:rPr>
          <w:rFonts w:cs="Arial"/>
        </w:rPr>
      </w:pPr>
    </w:p>
    <w:p w14:paraId="6301A667" w14:textId="77777777" w:rsidR="003122E4" w:rsidRDefault="003122E4" w:rsidP="004C3C52">
      <w:pPr>
        <w:ind w:left="720" w:hanging="720"/>
        <w:jc w:val="both"/>
        <w:rPr>
          <w:rFonts w:cs="Arial"/>
        </w:rPr>
      </w:pPr>
    </w:p>
    <w:p w14:paraId="78996D07" w14:textId="76A14BE6" w:rsidR="008817C2" w:rsidRDefault="008267BD" w:rsidP="17B25831">
      <w:pPr>
        <w:jc w:val="both"/>
        <w:rPr>
          <w:rFonts w:cs="Arial"/>
          <w:b/>
          <w:bCs/>
          <w:sz w:val="28"/>
          <w:szCs w:val="28"/>
        </w:rPr>
      </w:pPr>
      <w:r>
        <w:rPr>
          <w:rFonts w:cs="Arial"/>
          <w:b/>
          <w:bCs/>
          <w:sz w:val="28"/>
          <w:szCs w:val="28"/>
        </w:rPr>
        <w:t>9</w:t>
      </w:r>
      <w:r w:rsidR="00CC4AD4">
        <w:rPr>
          <w:rFonts w:cs="Arial"/>
          <w:b/>
          <w:bCs/>
          <w:sz w:val="28"/>
          <w:szCs w:val="28"/>
        </w:rPr>
        <w:t>.0</w:t>
      </w:r>
      <w:r w:rsidR="3951D2A0" w:rsidRPr="00582471">
        <w:rPr>
          <w:rFonts w:cs="Arial"/>
          <w:b/>
          <w:bCs/>
          <w:sz w:val="28"/>
          <w:szCs w:val="28"/>
        </w:rPr>
        <w:t xml:space="preserve"> Financial Implications</w:t>
      </w:r>
    </w:p>
    <w:p w14:paraId="7BD2EEE9" w14:textId="34F283C7" w:rsidR="009E5CBD" w:rsidRPr="00DF41D8" w:rsidRDefault="008267BD" w:rsidP="009E5CBD">
      <w:pPr>
        <w:spacing w:before="100" w:beforeAutospacing="1" w:after="100" w:afterAutospacing="1"/>
        <w:ind w:left="720" w:hanging="720"/>
        <w:rPr>
          <w:rFonts w:cs="Arial"/>
        </w:rPr>
      </w:pPr>
      <w:r>
        <w:rPr>
          <w:rFonts w:cs="Arial"/>
        </w:rPr>
        <w:t>9</w:t>
      </w:r>
      <w:r w:rsidR="009E5CBD">
        <w:rPr>
          <w:rFonts w:cs="Arial"/>
        </w:rPr>
        <w:t xml:space="preserve">.1 </w:t>
      </w:r>
      <w:r w:rsidR="009E5CBD">
        <w:rPr>
          <w:rFonts w:cs="Arial"/>
        </w:rPr>
        <w:tab/>
      </w:r>
      <w:r w:rsidR="009E5CBD" w:rsidRPr="00DF41D8">
        <w:rPr>
          <w:rFonts w:cs="Arial"/>
        </w:rPr>
        <w:t xml:space="preserve">The total estimated expenditure of the 2-Year </w:t>
      </w:r>
      <w:r w:rsidR="009E5CBD" w:rsidRPr="00DF41D8">
        <w:t>Kitchens &amp; Bathrooms Programme is £</w:t>
      </w:r>
      <w:r w:rsidR="004515CE">
        <w:t>3.01</w:t>
      </w:r>
      <w:r w:rsidR="009E5CBD" w:rsidRPr="00DF41D8">
        <w:t>M</w:t>
      </w:r>
      <w:r w:rsidR="009E5CBD" w:rsidRPr="00DF41D8">
        <w:rPr>
          <w:b/>
          <w:bCs/>
        </w:rPr>
        <w:t xml:space="preserve"> </w:t>
      </w:r>
      <w:r w:rsidR="009E5CBD" w:rsidRPr="00DF41D8">
        <w:t>and the 2-Year Windows &amp; Doors Programme is £</w:t>
      </w:r>
      <w:r w:rsidR="00521940">
        <w:t>2.13</w:t>
      </w:r>
      <w:r w:rsidR="009E5CBD" w:rsidRPr="00DF41D8">
        <w:t>M.</w:t>
      </w:r>
      <w:r w:rsidR="00B03408" w:rsidRPr="00DF41D8">
        <w:t xml:space="preserve"> T</w:t>
      </w:r>
      <w:r w:rsidR="00610D16" w:rsidRPr="00DF41D8">
        <w:t xml:space="preserve">he </w:t>
      </w:r>
      <w:r w:rsidR="00B03408" w:rsidRPr="00DF41D8">
        <w:t xml:space="preserve">total </w:t>
      </w:r>
      <w:r w:rsidR="00DF41D8">
        <w:t>2-</w:t>
      </w:r>
      <w:r w:rsidR="00272EE5" w:rsidRPr="00DF41D8">
        <w:t xml:space="preserve">year </w:t>
      </w:r>
      <w:r w:rsidR="00B03408" w:rsidRPr="00DF41D8">
        <w:t>expenditure of £</w:t>
      </w:r>
      <w:r w:rsidR="00521940">
        <w:t>5.143</w:t>
      </w:r>
      <w:r w:rsidR="005853C0" w:rsidRPr="003122E4">
        <w:t>M</w:t>
      </w:r>
      <w:r w:rsidR="00B03408" w:rsidRPr="00DF41D8">
        <w:t xml:space="preserve"> </w:t>
      </w:r>
      <w:r w:rsidR="009E5CBD" w:rsidRPr="00DF41D8">
        <w:t xml:space="preserve">will be </w:t>
      </w:r>
      <w:r w:rsidR="009E5CBD" w:rsidRPr="00DF41D8">
        <w:rPr>
          <w:rFonts w:cs="Arial"/>
        </w:rPr>
        <w:t>funded from HRA planned investment capital programme budget</w:t>
      </w:r>
      <w:r w:rsidR="00B03408" w:rsidRPr="00DF41D8">
        <w:rPr>
          <w:rFonts w:cs="Arial"/>
        </w:rPr>
        <w:t xml:space="preserve">s </w:t>
      </w:r>
      <w:r w:rsidR="009E5CBD" w:rsidRPr="00DF41D8">
        <w:rPr>
          <w:rFonts w:cs="Arial"/>
        </w:rPr>
        <w:t>of £8.428m in 2023/24 and</w:t>
      </w:r>
      <w:r w:rsidR="00B03408" w:rsidRPr="00DF41D8">
        <w:rPr>
          <w:rFonts w:cs="Arial"/>
        </w:rPr>
        <w:t xml:space="preserve"> £8.428m </w:t>
      </w:r>
      <w:r w:rsidR="009E5CBD" w:rsidRPr="00DF41D8">
        <w:rPr>
          <w:rFonts w:cs="Arial"/>
        </w:rPr>
        <w:t xml:space="preserve">2024/25. </w:t>
      </w:r>
    </w:p>
    <w:p w14:paraId="1BBCC05F" w14:textId="261E04D9" w:rsidR="009E5CBD" w:rsidRDefault="008267BD" w:rsidP="009E5CBD">
      <w:pPr>
        <w:spacing w:before="100" w:beforeAutospacing="1" w:after="100" w:afterAutospacing="1"/>
        <w:ind w:left="720" w:hanging="720"/>
        <w:rPr>
          <w:rFonts w:cs="Arial"/>
        </w:rPr>
      </w:pPr>
      <w:r>
        <w:rPr>
          <w:rFonts w:cs="Arial"/>
        </w:rPr>
        <w:t>9</w:t>
      </w:r>
      <w:r w:rsidR="009E5CBD" w:rsidRPr="00DF41D8">
        <w:rPr>
          <w:rFonts w:cs="Arial"/>
        </w:rPr>
        <w:t>.2</w:t>
      </w:r>
      <w:r w:rsidR="009E5CBD" w:rsidRPr="00DF41D8">
        <w:rPr>
          <w:rFonts w:cs="Arial"/>
        </w:rPr>
        <w:tab/>
        <w:t xml:space="preserve">The extension option of year, if taken, is </w:t>
      </w:r>
      <w:r w:rsidR="00817330" w:rsidRPr="00DF41D8">
        <w:rPr>
          <w:rFonts w:cs="Arial"/>
        </w:rPr>
        <w:t>estimated at</w:t>
      </w:r>
      <w:r w:rsidR="009E5CBD" w:rsidRPr="00DF41D8">
        <w:rPr>
          <w:rFonts w:cs="Arial"/>
        </w:rPr>
        <w:t xml:space="preserve"> £1</w:t>
      </w:r>
      <w:r w:rsidR="005853C0" w:rsidRPr="003122E4">
        <w:rPr>
          <w:rFonts w:cs="Arial"/>
        </w:rPr>
        <w:t>.</w:t>
      </w:r>
      <w:r w:rsidR="009E5CBD" w:rsidRPr="00DF41D8">
        <w:rPr>
          <w:rFonts w:cs="Arial"/>
        </w:rPr>
        <w:t>9</w:t>
      </w:r>
      <w:r w:rsidR="00521940">
        <w:rPr>
          <w:rFonts w:cs="Arial"/>
        </w:rPr>
        <w:t>76</w:t>
      </w:r>
      <w:r w:rsidR="009E5CBD" w:rsidRPr="00DF41D8">
        <w:rPr>
          <w:rFonts w:cs="Arial"/>
        </w:rPr>
        <w:t xml:space="preserve">M for </w:t>
      </w:r>
      <w:r w:rsidR="009E5CBD" w:rsidRPr="00DF41D8">
        <w:t>Kitchens &amp; Bathrooms and £1,</w:t>
      </w:r>
      <w:r w:rsidR="00521940">
        <w:t>211</w:t>
      </w:r>
      <w:r w:rsidR="00521940" w:rsidRPr="00DF41D8">
        <w:t xml:space="preserve">M </w:t>
      </w:r>
      <w:r w:rsidR="009E5CBD" w:rsidRPr="00DF41D8">
        <w:t>for Windows &amp; Doors</w:t>
      </w:r>
      <w:r w:rsidR="00A10D21" w:rsidRPr="00DF41D8">
        <w:t>. The estimated total expenditure of £3.</w:t>
      </w:r>
      <w:r w:rsidR="00521940">
        <w:t>187</w:t>
      </w:r>
      <w:r w:rsidR="00AF207A" w:rsidRPr="003122E4">
        <w:t>M</w:t>
      </w:r>
      <w:r w:rsidR="00A10D21" w:rsidRPr="00DF41D8">
        <w:t xml:space="preserve"> </w:t>
      </w:r>
      <w:r w:rsidR="009E5CBD" w:rsidRPr="00DF41D8">
        <w:rPr>
          <w:rFonts w:cs="Arial"/>
        </w:rPr>
        <w:t>funded from the 2025/26 planned investment capital programme budget of £8.428m.</w:t>
      </w:r>
      <w:r w:rsidR="009E5CBD">
        <w:rPr>
          <w:rFonts w:cs="Arial"/>
        </w:rPr>
        <w:t xml:space="preserve">  </w:t>
      </w:r>
    </w:p>
    <w:p w14:paraId="30F8951D" w14:textId="47A25319" w:rsidR="008817C2" w:rsidRDefault="008267BD" w:rsidP="003122E4">
      <w:pPr>
        <w:spacing w:before="100" w:beforeAutospacing="1" w:after="100" w:afterAutospacing="1"/>
        <w:ind w:left="720" w:hanging="720"/>
        <w:rPr>
          <w:rFonts w:cs="Arial"/>
        </w:rPr>
      </w:pPr>
      <w:r>
        <w:rPr>
          <w:rFonts w:cs="Arial"/>
        </w:rPr>
        <w:t>9</w:t>
      </w:r>
      <w:r w:rsidR="009E5CBD">
        <w:rPr>
          <w:rFonts w:cs="Arial"/>
        </w:rPr>
        <w:t>.3</w:t>
      </w:r>
      <w:r w:rsidR="009E5CBD">
        <w:rPr>
          <w:rFonts w:cs="Arial"/>
        </w:rPr>
        <w:tab/>
        <w:t xml:space="preserve">The tables below </w:t>
      </w:r>
      <w:r w:rsidR="003122E4">
        <w:rPr>
          <w:rFonts w:cs="Arial"/>
        </w:rPr>
        <w:t>set</w:t>
      </w:r>
      <w:r w:rsidR="00B03408">
        <w:rPr>
          <w:rFonts w:cs="Arial"/>
        </w:rPr>
        <w:t xml:space="preserve"> </w:t>
      </w:r>
      <w:r w:rsidR="009E5CBD">
        <w:rPr>
          <w:rFonts w:cs="Arial"/>
        </w:rPr>
        <w:t xml:space="preserve">out the profile of the expenditure </w:t>
      </w:r>
      <w:r w:rsidR="00B03408">
        <w:rPr>
          <w:rFonts w:cs="Arial"/>
        </w:rPr>
        <w:t xml:space="preserve">across years </w:t>
      </w:r>
      <w:r w:rsidR="009E5CBD">
        <w:rPr>
          <w:rFonts w:cs="Arial"/>
        </w:rPr>
        <w:t xml:space="preserve">and estimated costs against </w:t>
      </w:r>
      <w:r w:rsidR="00B03408">
        <w:rPr>
          <w:rFonts w:cs="Arial"/>
        </w:rPr>
        <w:t>expenditure categories</w:t>
      </w:r>
      <w:r w:rsidR="003122E4">
        <w:rPr>
          <w:rFonts w:cs="Arial"/>
        </w:rPr>
        <w:t>.</w:t>
      </w:r>
    </w:p>
    <w:p w14:paraId="78B1425B" w14:textId="1C42E664" w:rsidR="009A725D" w:rsidRDefault="009A725D" w:rsidP="003122E4">
      <w:pPr>
        <w:spacing w:before="100" w:beforeAutospacing="1" w:after="100" w:afterAutospacing="1"/>
        <w:ind w:left="720" w:hanging="720"/>
        <w:rPr>
          <w:rFonts w:cs="Arial"/>
        </w:rPr>
      </w:pPr>
    </w:p>
    <w:p w14:paraId="4D8D4765" w14:textId="77777777" w:rsidR="008267BD" w:rsidRDefault="008267BD" w:rsidP="003122E4">
      <w:pPr>
        <w:spacing w:before="100" w:beforeAutospacing="1" w:after="100" w:afterAutospacing="1"/>
        <w:ind w:left="720" w:hanging="720"/>
        <w:rPr>
          <w:rFonts w:cs="Arial"/>
        </w:rPr>
      </w:pPr>
    </w:p>
    <w:tbl>
      <w:tblPr>
        <w:tblW w:w="8596" w:type="dxa"/>
        <w:tblInd w:w="-10" w:type="dxa"/>
        <w:tblLayout w:type="fixed"/>
        <w:tblLook w:val="04A0" w:firstRow="1" w:lastRow="0" w:firstColumn="1" w:lastColumn="0" w:noHBand="0" w:noVBand="1"/>
      </w:tblPr>
      <w:tblGrid>
        <w:gridCol w:w="2977"/>
        <w:gridCol w:w="1276"/>
        <w:gridCol w:w="1276"/>
        <w:gridCol w:w="1701"/>
        <w:gridCol w:w="1366"/>
      </w:tblGrid>
      <w:tr w:rsidR="003C100D" w:rsidRPr="00CD0ACD" w14:paraId="5C03DDBF" w14:textId="77777777" w:rsidTr="00A955D8">
        <w:trPr>
          <w:trHeight w:val="515"/>
        </w:trPr>
        <w:tc>
          <w:tcPr>
            <w:tcW w:w="8596" w:type="dxa"/>
            <w:gridSpan w:val="5"/>
            <w:tcBorders>
              <w:top w:val="single" w:sz="8" w:space="0" w:color="auto"/>
              <w:left w:val="single" w:sz="8" w:space="0" w:color="auto"/>
              <w:bottom w:val="single" w:sz="8" w:space="0" w:color="auto"/>
              <w:right w:val="single" w:sz="8" w:space="0" w:color="000000"/>
            </w:tcBorders>
            <w:shd w:val="clear" w:color="000000" w:fill="CCC0D9"/>
            <w:vAlign w:val="center"/>
            <w:hideMark/>
          </w:tcPr>
          <w:p w14:paraId="56322009" w14:textId="48DC14BB" w:rsidR="003C100D" w:rsidRPr="00CD0ACD" w:rsidRDefault="003122E4" w:rsidP="008C6117">
            <w:pPr>
              <w:rPr>
                <w:rFonts w:cs="Arial"/>
                <w:b/>
                <w:bCs/>
                <w:color w:val="000000"/>
                <w:sz w:val="20"/>
                <w:lang w:eastAsia="en-GB"/>
              </w:rPr>
            </w:pPr>
            <w:r>
              <w:rPr>
                <w:rFonts w:cs="Arial"/>
                <w:b/>
                <w:bCs/>
                <w:color w:val="000000"/>
                <w:sz w:val="20"/>
                <w:lang w:eastAsia="en-GB"/>
              </w:rPr>
              <w:lastRenderedPageBreak/>
              <w:t>10.3a Table</w:t>
            </w:r>
            <w:r w:rsidR="00741C6D">
              <w:rPr>
                <w:rFonts w:cs="Arial"/>
                <w:b/>
                <w:bCs/>
                <w:color w:val="000000"/>
                <w:sz w:val="20"/>
                <w:lang w:eastAsia="en-GB"/>
              </w:rPr>
              <w:t xml:space="preserve"> </w:t>
            </w:r>
            <w:r>
              <w:rPr>
                <w:rFonts w:cs="Arial"/>
                <w:b/>
                <w:bCs/>
                <w:color w:val="000000"/>
                <w:sz w:val="20"/>
                <w:lang w:eastAsia="en-GB"/>
              </w:rPr>
              <w:t>1</w:t>
            </w:r>
            <w:r w:rsidRPr="00CD0ACD">
              <w:rPr>
                <w:rFonts w:cs="Arial"/>
                <w:b/>
                <w:bCs/>
                <w:color w:val="000000"/>
                <w:sz w:val="20"/>
                <w:lang w:eastAsia="en-GB"/>
              </w:rPr>
              <w:t>:</w:t>
            </w:r>
            <w:r w:rsidR="003C100D" w:rsidRPr="00CD0ACD">
              <w:rPr>
                <w:rFonts w:cs="Arial"/>
                <w:b/>
                <w:bCs/>
                <w:color w:val="000000"/>
                <w:sz w:val="20"/>
                <w:lang w:eastAsia="en-GB"/>
              </w:rPr>
              <w:t xml:space="preserve"> </w:t>
            </w:r>
            <w:r w:rsidR="00E4739F" w:rsidRPr="00EB7DEB">
              <w:rPr>
                <w:rFonts w:cs="Arial"/>
                <w:b/>
                <w:bCs/>
                <w:color w:val="000000"/>
                <w:sz w:val="20"/>
                <w:lang w:eastAsia="en-GB"/>
              </w:rPr>
              <w:t>Kitchen &amp; Bathrooms</w:t>
            </w:r>
            <w:r w:rsidR="00E4739F">
              <w:rPr>
                <w:rFonts w:cs="Arial"/>
                <w:b/>
                <w:bCs/>
                <w:color w:val="000000"/>
                <w:sz w:val="20"/>
                <w:lang w:eastAsia="en-GB"/>
              </w:rPr>
              <w:t xml:space="preserve"> F</w:t>
            </w:r>
            <w:r w:rsidR="003C100D" w:rsidRPr="00CD0ACD">
              <w:rPr>
                <w:rFonts w:cs="Arial"/>
                <w:b/>
                <w:bCs/>
                <w:color w:val="000000"/>
                <w:sz w:val="20"/>
                <w:lang w:eastAsia="en-GB"/>
              </w:rPr>
              <w:t>inance</w:t>
            </w:r>
          </w:p>
        </w:tc>
      </w:tr>
      <w:tr w:rsidR="00E74396" w:rsidRPr="00CD0ACD" w14:paraId="06C7FBEB" w14:textId="77777777" w:rsidTr="00A955D8">
        <w:trPr>
          <w:trHeight w:val="541"/>
        </w:trPr>
        <w:tc>
          <w:tcPr>
            <w:tcW w:w="2977" w:type="dxa"/>
            <w:tcBorders>
              <w:top w:val="nil"/>
              <w:left w:val="single" w:sz="8" w:space="0" w:color="auto"/>
              <w:bottom w:val="single" w:sz="8" w:space="0" w:color="auto"/>
              <w:right w:val="single" w:sz="8" w:space="0" w:color="auto"/>
            </w:tcBorders>
            <w:shd w:val="clear" w:color="000000" w:fill="D9D9D9"/>
            <w:vAlign w:val="center"/>
            <w:hideMark/>
          </w:tcPr>
          <w:p w14:paraId="1B5ED87B" w14:textId="15C916D4" w:rsidR="00E74396" w:rsidRPr="00CD0ACD" w:rsidRDefault="00E74396" w:rsidP="00E74396">
            <w:pPr>
              <w:jc w:val="center"/>
              <w:rPr>
                <w:rFonts w:cs="Arial"/>
                <w:b/>
                <w:bCs/>
                <w:color w:val="000000"/>
                <w:sz w:val="20"/>
                <w:lang w:eastAsia="en-GB"/>
              </w:rPr>
            </w:pPr>
            <w:r>
              <w:rPr>
                <w:rFonts w:cs="Arial"/>
                <w:b/>
                <w:bCs/>
                <w:color w:val="000000"/>
                <w:sz w:val="20"/>
                <w:lang w:eastAsia="en-GB"/>
              </w:rPr>
              <w:t>Kitchens &amp; Bathrooms</w:t>
            </w:r>
            <w:r w:rsidRPr="00CD0ACD">
              <w:rPr>
                <w:rFonts w:cs="Arial"/>
                <w:b/>
                <w:bCs/>
                <w:color w:val="000000"/>
                <w:sz w:val="20"/>
                <w:lang w:eastAsia="en-GB"/>
              </w:rPr>
              <w:t xml:space="preserve"> </w:t>
            </w:r>
            <w:r w:rsidR="009A725D">
              <w:rPr>
                <w:rFonts w:cs="Arial"/>
                <w:b/>
                <w:bCs/>
                <w:color w:val="000000"/>
                <w:sz w:val="20"/>
                <w:lang w:eastAsia="en-GB"/>
              </w:rPr>
              <w:t>(K&amp;B)</w:t>
            </w:r>
          </w:p>
        </w:tc>
        <w:tc>
          <w:tcPr>
            <w:tcW w:w="1276" w:type="dxa"/>
            <w:tcBorders>
              <w:top w:val="nil"/>
              <w:left w:val="nil"/>
              <w:bottom w:val="single" w:sz="8" w:space="0" w:color="auto"/>
              <w:right w:val="single" w:sz="8" w:space="0" w:color="auto"/>
            </w:tcBorders>
            <w:shd w:val="clear" w:color="000000" w:fill="D9D9D9"/>
            <w:vAlign w:val="center"/>
            <w:hideMark/>
          </w:tcPr>
          <w:p w14:paraId="20A3B656" w14:textId="665CD058" w:rsidR="00E74396" w:rsidRPr="00CD0ACD" w:rsidRDefault="00E74396" w:rsidP="00E74396">
            <w:pPr>
              <w:jc w:val="center"/>
              <w:rPr>
                <w:rFonts w:cs="Arial"/>
                <w:b/>
                <w:bCs/>
                <w:color w:val="000000"/>
                <w:sz w:val="20"/>
                <w:lang w:eastAsia="en-GB"/>
              </w:rPr>
            </w:pPr>
            <w:r w:rsidRPr="00CD0ACD">
              <w:rPr>
                <w:rFonts w:cs="Arial"/>
                <w:b/>
                <w:bCs/>
                <w:color w:val="000000"/>
                <w:sz w:val="20"/>
                <w:lang w:eastAsia="en-GB"/>
              </w:rPr>
              <w:t>Spend 202</w:t>
            </w:r>
            <w:r>
              <w:rPr>
                <w:rFonts w:cs="Arial"/>
                <w:b/>
                <w:bCs/>
                <w:color w:val="000000"/>
                <w:sz w:val="20"/>
                <w:lang w:eastAsia="en-GB"/>
              </w:rPr>
              <w:t>3</w:t>
            </w:r>
            <w:r w:rsidRPr="00CD0ACD">
              <w:rPr>
                <w:rFonts w:cs="Arial"/>
                <w:b/>
                <w:bCs/>
                <w:color w:val="000000"/>
                <w:sz w:val="20"/>
                <w:lang w:eastAsia="en-GB"/>
              </w:rPr>
              <w:t>-2</w:t>
            </w:r>
            <w:r>
              <w:rPr>
                <w:rFonts w:cs="Arial"/>
                <w:b/>
                <w:bCs/>
                <w:color w:val="000000"/>
                <w:sz w:val="20"/>
                <w:lang w:eastAsia="en-GB"/>
              </w:rPr>
              <w:t>4</w:t>
            </w:r>
          </w:p>
        </w:tc>
        <w:tc>
          <w:tcPr>
            <w:tcW w:w="1276" w:type="dxa"/>
            <w:tcBorders>
              <w:top w:val="nil"/>
              <w:left w:val="nil"/>
              <w:bottom w:val="single" w:sz="8" w:space="0" w:color="auto"/>
              <w:right w:val="single" w:sz="8" w:space="0" w:color="auto"/>
            </w:tcBorders>
            <w:shd w:val="clear" w:color="auto" w:fill="D9D9D9" w:themeFill="background1" w:themeFillShade="D9"/>
            <w:vAlign w:val="center"/>
            <w:hideMark/>
          </w:tcPr>
          <w:p w14:paraId="4396B7F1" w14:textId="5296330A" w:rsidR="00E74396" w:rsidRPr="00CD0ACD" w:rsidRDefault="00E74396" w:rsidP="00E74396">
            <w:pPr>
              <w:jc w:val="center"/>
              <w:rPr>
                <w:rFonts w:cs="Arial"/>
                <w:b/>
                <w:bCs/>
                <w:color w:val="000000"/>
                <w:sz w:val="20"/>
                <w:lang w:eastAsia="en-GB"/>
              </w:rPr>
            </w:pPr>
            <w:r w:rsidRPr="00CD0ACD">
              <w:rPr>
                <w:rFonts w:cs="Arial"/>
                <w:b/>
                <w:bCs/>
                <w:color w:val="000000"/>
                <w:sz w:val="20"/>
                <w:lang w:eastAsia="en-GB"/>
              </w:rPr>
              <w:t>Spend 202</w:t>
            </w:r>
            <w:r>
              <w:rPr>
                <w:rFonts w:cs="Arial"/>
                <w:b/>
                <w:bCs/>
                <w:color w:val="000000"/>
                <w:sz w:val="20"/>
                <w:lang w:eastAsia="en-GB"/>
              </w:rPr>
              <w:t>4</w:t>
            </w:r>
            <w:r w:rsidRPr="00CD0ACD">
              <w:rPr>
                <w:rFonts w:cs="Arial"/>
                <w:b/>
                <w:bCs/>
                <w:color w:val="000000"/>
                <w:sz w:val="20"/>
                <w:lang w:eastAsia="en-GB"/>
              </w:rPr>
              <w:t>-2</w:t>
            </w:r>
            <w:r>
              <w:rPr>
                <w:rFonts w:cs="Arial"/>
                <w:b/>
                <w:bCs/>
                <w:color w:val="000000"/>
                <w:sz w:val="20"/>
                <w:lang w:eastAsia="en-GB"/>
              </w:rPr>
              <w:t>5</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081B62F5" w14:textId="7BD1A1EC" w:rsidR="00E74396" w:rsidRPr="00E74396" w:rsidRDefault="00E74396" w:rsidP="00E74396">
            <w:pPr>
              <w:jc w:val="center"/>
              <w:rPr>
                <w:rFonts w:cs="Arial"/>
                <w:b/>
                <w:bCs/>
                <w:color w:val="000000"/>
                <w:sz w:val="20"/>
                <w:lang w:eastAsia="en-GB"/>
              </w:rPr>
            </w:pPr>
            <w:r w:rsidRPr="00E74396">
              <w:rPr>
                <w:rFonts w:cs="Arial"/>
                <w:b/>
                <w:bCs/>
                <w:color w:val="000000"/>
                <w:sz w:val="20"/>
                <w:lang w:eastAsia="en-GB"/>
              </w:rPr>
              <w:t>2-Year Programme Budget</w:t>
            </w:r>
          </w:p>
        </w:tc>
        <w:tc>
          <w:tcPr>
            <w:tcW w:w="1366" w:type="dxa"/>
            <w:tcBorders>
              <w:top w:val="nil"/>
              <w:left w:val="nil"/>
              <w:bottom w:val="single" w:sz="8" w:space="0" w:color="auto"/>
              <w:right w:val="single" w:sz="8" w:space="0" w:color="auto"/>
            </w:tcBorders>
            <w:shd w:val="clear" w:color="000000" w:fill="D9D9D9"/>
            <w:vAlign w:val="center"/>
            <w:hideMark/>
          </w:tcPr>
          <w:p w14:paraId="1481925C" w14:textId="77777777" w:rsidR="00224AEC" w:rsidRDefault="00224AEC" w:rsidP="00E74396">
            <w:pPr>
              <w:jc w:val="center"/>
              <w:rPr>
                <w:rFonts w:cs="Arial"/>
                <w:b/>
                <w:bCs/>
                <w:color w:val="000000"/>
                <w:sz w:val="20"/>
                <w:lang w:eastAsia="en-GB"/>
              </w:rPr>
            </w:pPr>
            <w:r>
              <w:rPr>
                <w:rFonts w:cs="Arial"/>
                <w:b/>
                <w:bCs/>
                <w:color w:val="000000"/>
                <w:sz w:val="20"/>
                <w:lang w:eastAsia="en-GB"/>
              </w:rPr>
              <w:t xml:space="preserve">Option Extension Year </w:t>
            </w:r>
          </w:p>
          <w:p w14:paraId="1DB012A5" w14:textId="10F4A599" w:rsidR="00E74396" w:rsidRPr="00CD0ACD" w:rsidRDefault="00E74396" w:rsidP="00E74396">
            <w:pPr>
              <w:jc w:val="center"/>
              <w:rPr>
                <w:rFonts w:cs="Arial"/>
                <w:b/>
                <w:bCs/>
                <w:color w:val="000000"/>
                <w:sz w:val="20"/>
                <w:lang w:eastAsia="en-GB"/>
              </w:rPr>
            </w:pPr>
            <w:r w:rsidRPr="00CD0ACD">
              <w:rPr>
                <w:rFonts w:cs="Arial"/>
                <w:b/>
                <w:bCs/>
                <w:color w:val="000000"/>
                <w:sz w:val="20"/>
                <w:lang w:eastAsia="en-GB"/>
              </w:rPr>
              <w:t>Spend 202</w:t>
            </w:r>
            <w:r>
              <w:rPr>
                <w:rFonts w:cs="Arial"/>
                <w:b/>
                <w:bCs/>
                <w:color w:val="000000"/>
                <w:sz w:val="20"/>
                <w:lang w:eastAsia="en-GB"/>
              </w:rPr>
              <w:t>5</w:t>
            </w:r>
            <w:r w:rsidRPr="00CD0ACD">
              <w:rPr>
                <w:rFonts w:cs="Arial"/>
                <w:b/>
                <w:bCs/>
                <w:color w:val="000000"/>
                <w:sz w:val="20"/>
                <w:lang w:eastAsia="en-GB"/>
              </w:rPr>
              <w:t>-2</w:t>
            </w:r>
            <w:r>
              <w:rPr>
                <w:rFonts w:cs="Arial"/>
                <w:b/>
                <w:bCs/>
                <w:color w:val="000000"/>
                <w:sz w:val="20"/>
                <w:lang w:eastAsia="en-GB"/>
              </w:rPr>
              <w:t>6</w:t>
            </w:r>
          </w:p>
        </w:tc>
      </w:tr>
      <w:tr w:rsidR="0025472B" w:rsidRPr="00CD0ACD" w14:paraId="75D52AF6" w14:textId="77777777" w:rsidTr="00A955D8">
        <w:trPr>
          <w:trHeight w:val="297"/>
        </w:trPr>
        <w:tc>
          <w:tcPr>
            <w:tcW w:w="2977" w:type="dxa"/>
            <w:tcBorders>
              <w:top w:val="nil"/>
              <w:left w:val="single" w:sz="8" w:space="0" w:color="auto"/>
              <w:bottom w:val="single" w:sz="8" w:space="0" w:color="auto"/>
              <w:right w:val="single" w:sz="8" w:space="0" w:color="auto"/>
            </w:tcBorders>
            <w:shd w:val="clear" w:color="000000" w:fill="F2F2F2"/>
            <w:vAlign w:val="center"/>
            <w:hideMark/>
          </w:tcPr>
          <w:p w14:paraId="41180DC9" w14:textId="2C072604" w:rsidR="0025472B" w:rsidRPr="00A955D8" w:rsidRDefault="0025472B" w:rsidP="0025472B">
            <w:pPr>
              <w:rPr>
                <w:rFonts w:cs="Arial"/>
                <w:b/>
                <w:bCs/>
                <w:color w:val="000000"/>
                <w:sz w:val="20"/>
                <w:lang w:eastAsia="en-GB"/>
              </w:rPr>
            </w:pPr>
          </w:p>
        </w:tc>
        <w:tc>
          <w:tcPr>
            <w:tcW w:w="1276" w:type="dxa"/>
            <w:tcBorders>
              <w:top w:val="nil"/>
              <w:left w:val="nil"/>
              <w:bottom w:val="single" w:sz="8" w:space="0" w:color="auto"/>
              <w:right w:val="single" w:sz="8" w:space="0" w:color="auto"/>
            </w:tcBorders>
            <w:shd w:val="clear" w:color="auto" w:fill="auto"/>
            <w:vAlign w:val="center"/>
            <w:hideMark/>
          </w:tcPr>
          <w:p w14:paraId="52D5A053" w14:textId="45440CA7" w:rsidR="0025472B" w:rsidRPr="00CD0ACD" w:rsidRDefault="0025472B" w:rsidP="0025472B">
            <w:pPr>
              <w:jc w:val="center"/>
              <w:rPr>
                <w:rFonts w:cs="Arial"/>
                <w:color w:val="000000"/>
                <w:sz w:val="20"/>
                <w:lang w:eastAsia="en-GB"/>
              </w:rPr>
            </w:pPr>
            <w:r w:rsidRPr="00CD0ACD">
              <w:rPr>
                <w:rFonts w:cs="Arial"/>
                <w:b/>
                <w:bCs/>
                <w:color w:val="000000"/>
                <w:sz w:val="20"/>
                <w:lang w:eastAsia="en-GB"/>
              </w:rPr>
              <w:t>£</w:t>
            </w:r>
          </w:p>
        </w:tc>
        <w:tc>
          <w:tcPr>
            <w:tcW w:w="1276" w:type="dxa"/>
            <w:tcBorders>
              <w:top w:val="nil"/>
              <w:left w:val="nil"/>
              <w:bottom w:val="single" w:sz="8" w:space="0" w:color="auto"/>
              <w:right w:val="single" w:sz="8" w:space="0" w:color="auto"/>
            </w:tcBorders>
            <w:shd w:val="clear" w:color="auto" w:fill="auto"/>
            <w:vAlign w:val="center"/>
            <w:hideMark/>
          </w:tcPr>
          <w:p w14:paraId="687474DB" w14:textId="5EA64CEA" w:rsidR="0025472B" w:rsidRPr="00CD0ACD" w:rsidRDefault="0025472B" w:rsidP="0025472B">
            <w:pPr>
              <w:rPr>
                <w:rFonts w:cs="Arial"/>
                <w:b/>
                <w:bCs/>
                <w:color w:val="000000"/>
                <w:sz w:val="20"/>
                <w:lang w:eastAsia="en-GB"/>
              </w:rPr>
            </w:pPr>
            <w:r w:rsidRPr="00CD0ACD">
              <w:rPr>
                <w:rFonts w:cs="Arial"/>
                <w:b/>
                <w:bCs/>
                <w:color w:val="000000"/>
                <w:sz w:val="20"/>
                <w:lang w:eastAsia="en-GB"/>
              </w:rPr>
              <w:t xml:space="preserve">        £</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56B3D431" w14:textId="6C8C49E6" w:rsidR="0025472B" w:rsidRPr="00E74396" w:rsidRDefault="0025472B" w:rsidP="0025472B">
            <w:pPr>
              <w:jc w:val="center"/>
              <w:rPr>
                <w:rFonts w:cs="Arial"/>
                <w:b/>
                <w:bCs/>
                <w:color w:val="000000"/>
                <w:sz w:val="20"/>
                <w:lang w:eastAsia="en-GB"/>
              </w:rPr>
            </w:pPr>
            <w:r w:rsidRPr="00E74396">
              <w:rPr>
                <w:rFonts w:cs="Arial"/>
                <w:b/>
                <w:bCs/>
                <w:color w:val="000000"/>
                <w:sz w:val="20"/>
                <w:lang w:eastAsia="en-GB"/>
              </w:rPr>
              <w:t>£</w:t>
            </w:r>
          </w:p>
        </w:tc>
        <w:tc>
          <w:tcPr>
            <w:tcW w:w="1366" w:type="dxa"/>
            <w:tcBorders>
              <w:top w:val="nil"/>
              <w:left w:val="nil"/>
              <w:bottom w:val="single" w:sz="8" w:space="0" w:color="auto"/>
              <w:right w:val="single" w:sz="8" w:space="0" w:color="auto"/>
            </w:tcBorders>
            <w:shd w:val="clear" w:color="auto" w:fill="auto"/>
            <w:vAlign w:val="center"/>
            <w:hideMark/>
          </w:tcPr>
          <w:p w14:paraId="4BE04573" w14:textId="77777777" w:rsidR="0025472B" w:rsidRPr="00CD0ACD" w:rsidRDefault="0025472B" w:rsidP="0025472B">
            <w:pPr>
              <w:rPr>
                <w:rFonts w:cs="Arial"/>
                <w:b/>
                <w:bCs/>
                <w:color w:val="000000"/>
                <w:sz w:val="20"/>
                <w:lang w:eastAsia="en-GB"/>
              </w:rPr>
            </w:pPr>
            <w:r w:rsidRPr="00CD0ACD">
              <w:rPr>
                <w:rFonts w:cs="Arial"/>
                <w:b/>
                <w:bCs/>
                <w:color w:val="000000"/>
                <w:sz w:val="20"/>
                <w:lang w:eastAsia="en-GB"/>
              </w:rPr>
              <w:t xml:space="preserve">          £</w:t>
            </w:r>
          </w:p>
        </w:tc>
      </w:tr>
      <w:tr w:rsidR="0025472B" w:rsidRPr="00CD0ACD" w14:paraId="37CDB6A2" w14:textId="77777777" w:rsidTr="00A955D8">
        <w:trPr>
          <w:trHeight w:val="297"/>
        </w:trPr>
        <w:tc>
          <w:tcPr>
            <w:tcW w:w="2977" w:type="dxa"/>
            <w:tcBorders>
              <w:top w:val="nil"/>
              <w:left w:val="single" w:sz="8" w:space="0" w:color="auto"/>
              <w:bottom w:val="single" w:sz="8" w:space="0" w:color="auto"/>
              <w:right w:val="single" w:sz="8" w:space="0" w:color="auto"/>
            </w:tcBorders>
            <w:shd w:val="clear" w:color="000000" w:fill="F2F2F2"/>
            <w:vAlign w:val="center"/>
            <w:hideMark/>
          </w:tcPr>
          <w:p w14:paraId="0DDE0593" w14:textId="1A1E16AA" w:rsidR="0025472B" w:rsidRPr="00A955D8" w:rsidRDefault="0025472B" w:rsidP="0025472B">
            <w:pPr>
              <w:rPr>
                <w:rFonts w:cs="Arial"/>
                <w:color w:val="000000"/>
                <w:sz w:val="20"/>
                <w:lang w:eastAsia="en-GB"/>
              </w:rPr>
            </w:pPr>
            <w:r w:rsidRPr="00A955D8">
              <w:rPr>
                <w:rFonts w:cs="Arial"/>
                <w:color w:val="000000"/>
                <w:sz w:val="20"/>
                <w:lang w:eastAsia="en-GB"/>
              </w:rPr>
              <w:t xml:space="preserve">Works </w:t>
            </w:r>
          </w:p>
        </w:tc>
        <w:tc>
          <w:tcPr>
            <w:tcW w:w="1276" w:type="dxa"/>
            <w:tcBorders>
              <w:top w:val="nil"/>
              <w:left w:val="nil"/>
              <w:bottom w:val="single" w:sz="8" w:space="0" w:color="auto"/>
              <w:right w:val="single" w:sz="8" w:space="0" w:color="auto"/>
            </w:tcBorders>
            <w:shd w:val="clear" w:color="auto" w:fill="auto"/>
            <w:vAlign w:val="center"/>
            <w:hideMark/>
          </w:tcPr>
          <w:p w14:paraId="19888297" w14:textId="36A14C79" w:rsidR="0025472B" w:rsidRPr="00CD0ACD" w:rsidRDefault="0025472B" w:rsidP="0025472B">
            <w:pPr>
              <w:jc w:val="right"/>
              <w:rPr>
                <w:rFonts w:cs="Arial"/>
                <w:color w:val="000000"/>
                <w:sz w:val="20"/>
                <w:lang w:eastAsia="en-GB"/>
              </w:rPr>
            </w:pPr>
            <w:r>
              <w:rPr>
                <w:rFonts w:cs="Arial"/>
                <w:color w:val="000000"/>
                <w:sz w:val="20"/>
                <w:lang w:eastAsia="en-GB"/>
              </w:rPr>
              <w:t>896,000</w:t>
            </w:r>
          </w:p>
        </w:tc>
        <w:tc>
          <w:tcPr>
            <w:tcW w:w="1276" w:type="dxa"/>
            <w:tcBorders>
              <w:top w:val="nil"/>
              <w:left w:val="nil"/>
              <w:bottom w:val="single" w:sz="8" w:space="0" w:color="auto"/>
              <w:right w:val="single" w:sz="8" w:space="0" w:color="auto"/>
            </w:tcBorders>
            <w:shd w:val="clear" w:color="auto" w:fill="auto"/>
            <w:vAlign w:val="center"/>
            <w:hideMark/>
          </w:tcPr>
          <w:p w14:paraId="25069873" w14:textId="64FF7DDE" w:rsidR="0025472B" w:rsidRPr="00CD0ACD" w:rsidRDefault="0025472B" w:rsidP="0025472B">
            <w:pPr>
              <w:jc w:val="right"/>
              <w:rPr>
                <w:rFonts w:cs="Arial"/>
                <w:color w:val="000000"/>
                <w:sz w:val="20"/>
                <w:lang w:eastAsia="en-GB"/>
              </w:rPr>
            </w:pPr>
            <w:r w:rsidRPr="00EB7DEB">
              <w:rPr>
                <w:color w:val="000000"/>
                <w:sz w:val="20"/>
                <w:lang w:eastAsia="en-GB"/>
              </w:rPr>
              <w:t>1,716,500</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09133318" w14:textId="24B75F2D" w:rsidR="0025472B" w:rsidRPr="00A955D8" w:rsidRDefault="0025472B" w:rsidP="0025472B">
            <w:pPr>
              <w:jc w:val="right"/>
              <w:rPr>
                <w:rFonts w:cs="Arial"/>
                <w:b/>
                <w:bCs/>
                <w:color w:val="000000"/>
                <w:sz w:val="20"/>
                <w:lang w:eastAsia="en-GB"/>
              </w:rPr>
            </w:pPr>
            <w:r w:rsidRPr="00A955D8">
              <w:rPr>
                <w:rFonts w:cs="Arial"/>
                <w:b/>
                <w:bCs/>
                <w:color w:val="000000"/>
                <w:sz w:val="20"/>
                <w:lang w:eastAsia="en-GB"/>
              </w:rPr>
              <w:t>2,61</w:t>
            </w:r>
            <w:r w:rsidR="00B473BC">
              <w:rPr>
                <w:rFonts w:cs="Arial"/>
                <w:b/>
                <w:bCs/>
                <w:color w:val="000000"/>
                <w:sz w:val="20"/>
                <w:lang w:eastAsia="en-GB"/>
              </w:rPr>
              <w:t>2</w:t>
            </w:r>
            <w:r w:rsidRPr="00A955D8">
              <w:rPr>
                <w:rFonts w:cs="Arial"/>
                <w:b/>
                <w:bCs/>
                <w:color w:val="000000"/>
                <w:sz w:val="20"/>
                <w:lang w:eastAsia="en-GB"/>
              </w:rPr>
              <w:t>,500</w:t>
            </w:r>
          </w:p>
        </w:tc>
        <w:tc>
          <w:tcPr>
            <w:tcW w:w="1366" w:type="dxa"/>
            <w:tcBorders>
              <w:top w:val="nil"/>
              <w:left w:val="nil"/>
              <w:bottom w:val="single" w:sz="8" w:space="0" w:color="auto"/>
              <w:right w:val="single" w:sz="8" w:space="0" w:color="auto"/>
            </w:tcBorders>
            <w:shd w:val="clear" w:color="auto" w:fill="auto"/>
            <w:vAlign w:val="center"/>
          </w:tcPr>
          <w:p w14:paraId="409BE5DA" w14:textId="079D39E1" w:rsidR="0025472B" w:rsidRPr="00EB7DEB" w:rsidRDefault="0025472B" w:rsidP="0025472B">
            <w:pPr>
              <w:jc w:val="right"/>
              <w:rPr>
                <w:rFonts w:cs="Arial"/>
                <w:color w:val="000000"/>
                <w:sz w:val="20"/>
                <w:lang w:eastAsia="en-GB"/>
              </w:rPr>
            </w:pPr>
            <w:r w:rsidRPr="00EB7DEB">
              <w:rPr>
                <w:color w:val="000000"/>
                <w:sz w:val="20"/>
                <w:lang w:eastAsia="en-GB"/>
              </w:rPr>
              <w:t>1,716,500</w:t>
            </w:r>
          </w:p>
        </w:tc>
      </w:tr>
      <w:tr w:rsidR="004515CE" w:rsidRPr="00CD0ACD" w14:paraId="51354142" w14:textId="77777777" w:rsidTr="00A955D8">
        <w:trPr>
          <w:trHeight w:val="282"/>
        </w:trPr>
        <w:tc>
          <w:tcPr>
            <w:tcW w:w="2977" w:type="dxa"/>
            <w:tcBorders>
              <w:top w:val="nil"/>
              <w:left w:val="single" w:sz="8" w:space="0" w:color="auto"/>
              <w:bottom w:val="single" w:sz="8" w:space="0" w:color="auto"/>
              <w:right w:val="single" w:sz="8" w:space="0" w:color="auto"/>
            </w:tcBorders>
            <w:shd w:val="clear" w:color="000000" w:fill="F2F2F2"/>
            <w:vAlign w:val="center"/>
          </w:tcPr>
          <w:p w14:paraId="1DF8883B" w14:textId="48675223" w:rsidR="004515CE" w:rsidRPr="00E74396" w:rsidDel="00E4739F" w:rsidRDefault="004515CE" w:rsidP="004515CE">
            <w:pPr>
              <w:rPr>
                <w:rFonts w:cs="Arial"/>
                <w:color w:val="000000"/>
                <w:sz w:val="20"/>
                <w:lang w:eastAsia="en-GB"/>
              </w:rPr>
            </w:pPr>
            <w:r>
              <w:rPr>
                <w:rFonts w:cs="Arial"/>
                <w:color w:val="000000"/>
                <w:sz w:val="20"/>
                <w:lang w:eastAsia="en-GB"/>
              </w:rPr>
              <w:t>Client Contingency 5%</w:t>
            </w:r>
          </w:p>
        </w:tc>
        <w:tc>
          <w:tcPr>
            <w:tcW w:w="1276" w:type="dxa"/>
            <w:tcBorders>
              <w:top w:val="nil"/>
              <w:left w:val="nil"/>
              <w:bottom w:val="single" w:sz="8" w:space="0" w:color="auto"/>
              <w:right w:val="single" w:sz="8" w:space="0" w:color="auto"/>
            </w:tcBorders>
            <w:shd w:val="clear" w:color="auto" w:fill="auto"/>
            <w:vAlign w:val="center"/>
          </w:tcPr>
          <w:p w14:paraId="628EEEB6" w14:textId="27529FA5" w:rsidR="004515CE" w:rsidRPr="00CD0ACD" w:rsidDel="00E4739F" w:rsidRDefault="004515CE" w:rsidP="004515CE">
            <w:pPr>
              <w:jc w:val="right"/>
              <w:rPr>
                <w:rFonts w:cs="Arial"/>
                <w:color w:val="000000"/>
                <w:sz w:val="20"/>
                <w:lang w:eastAsia="en-GB"/>
              </w:rPr>
            </w:pPr>
            <w:r>
              <w:rPr>
                <w:rFonts w:cs="Arial"/>
                <w:color w:val="000000"/>
                <w:sz w:val="20"/>
                <w:lang w:eastAsia="en-GB"/>
              </w:rPr>
              <w:t>45,000</w:t>
            </w:r>
          </w:p>
        </w:tc>
        <w:tc>
          <w:tcPr>
            <w:tcW w:w="1276" w:type="dxa"/>
            <w:tcBorders>
              <w:top w:val="nil"/>
              <w:left w:val="nil"/>
              <w:bottom w:val="single" w:sz="8" w:space="0" w:color="auto"/>
              <w:right w:val="single" w:sz="8" w:space="0" w:color="auto"/>
            </w:tcBorders>
            <w:shd w:val="clear" w:color="auto" w:fill="auto"/>
            <w:vAlign w:val="center"/>
          </w:tcPr>
          <w:p w14:paraId="2068AD90" w14:textId="27C354AF" w:rsidR="004515CE" w:rsidDel="00E4739F" w:rsidRDefault="004515CE" w:rsidP="004515CE">
            <w:pPr>
              <w:jc w:val="right"/>
              <w:rPr>
                <w:rFonts w:cs="Arial"/>
                <w:color w:val="000000"/>
                <w:sz w:val="20"/>
                <w:lang w:eastAsia="en-GB"/>
              </w:rPr>
            </w:pPr>
            <w:r>
              <w:rPr>
                <w:rFonts w:cs="Arial"/>
                <w:color w:val="000000"/>
                <w:sz w:val="20"/>
                <w:lang w:eastAsia="en-GB"/>
              </w:rPr>
              <w:t>85,500</w:t>
            </w: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14:paraId="6AD720F0" w14:textId="0B948BF4" w:rsidR="004515CE" w:rsidRPr="00E74396" w:rsidDel="00E4739F" w:rsidRDefault="004515CE" w:rsidP="004515CE">
            <w:pPr>
              <w:jc w:val="right"/>
              <w:rPr>
                <w:rFonts w:cs="Arial"/>
                <w:b/>
                <w:bCs/>
                <w:color w:val="000000"/>
                <w:sz w:val="20"/>
                <w:lang w:eastAsia="en-GB"/>
              </w:rPr>
            </w:pPr>
            <w:r>
              <w:rPr>
                <w:rFonts w:cs="Arial"/>
                <w:b/>
                <w:bCs/>
                <w:color w:val="000000"/>
                <w:sz w:val="20"/>
                <w:lang w:eastAsia="en-GB"/>
              </w:rPr>
              <w:t>130,500</w:t>
            </w:r>
          </w:p>
        </w:tc>
        <w:tc>
          <w:tcPr>
            <w:tcW w:w="1366" w:type="dxa"/>
            <w:tcBorders>
              <w:top w:val="nil"/>
              <w:left w:val="nil"/>
              <w:bottom w:val="single" w:sz="8" w:space="0" w:color="auto"/>
              <w:right w:val="single" w:sz="8" w:space="0" w:color="auto"/>
            </w:tcBorders>
            <w:shd w:val="clear" w:color="auto" w:fill="auto"/>
            <w:vAlign w:val="center"/>
          </w:tcPr>
          <w:p w14:paraId="5A1776CB" w14:textId="5CC9C2F7" w:rsidR="004515CE" w:rsidRPr="00EB7DEB" w:rsidDel="00E4739F" w:rsidRDefault="004515CE" w:rsidP="004515CE">
            <w:pPr>
              <w:jc w:val="right"/>
              <w:rPr>
                <w:rFonts w:cs="Arial"/>
                <w:color w:val="000000"/>
                <w:sz w:val="20"/>
                <w:lang w:eastAsia="en-GB"/>
              </w:rPr>
            </w:pPr>
            <w:r>
              <w:rPr>
                <w:rFonts w:cs="Arial"/>
                <w:color w:val="000000"/>
                <w:sz w:val="20"/>
                <w:lang w:eastAsia="en-GB"/>
              </w:rPr>
              <w:t>85,500</w:t>
            </w:r>
          </w:p>
        </w:tc>
      </w:tr>
      <w:tr w:rsidR="004515CE" w:rsidRPr="00CD0ACD" w14:paraId="0F942AE8" w14:textId="77777777" w:rsidTr="00A955D8">
        <w:trPr>
          <w:trHeight w:val="282"/>
        </w:trPr>
        <w:tc>
          <w:tcPr>
            <w:tcW w:w="2977" w:type="dxa"/>
            <w:tcBorders>
              <w:top w:val="nil"/>
              <w:left w:val="single" w:sz="8" w:space="0" w:color="auto"/>
              <w:bottom w:val="single" w:sz="8" w:space="0" w:color="auto"/>
              <w:right w:val="single" w:sz="8" w:space="0" w:color="auto"/>
            </w:tcBorders>
            <w:shd w:val="clear" w:color="000000" w:fill="F2F2F2"/>
            <w:vAlign w:val="center"/>
          </w:tcPr>
          <w:p w14:paraId="4A160D47" w14:textId="0DB8649D" w:rsidR="004515CE" w:rsidRPr="00E74396" w:rsidDel="00E4739F" w:rsidRDefault="004515CE" w:rsidP="004515CE">
            <w:pPr>
              <w:rPr>
                <w:rFonts w:cs="Arial"/>
                <w:color w:val="000000"/>
                <w:sz w:val="20"/>
                <w:lang w:eastAsia="en-GB"/>
              </w:rPr>
            </w:pPr>
            <w:r>
              <w:rPr>
                <w:rFonts w:cs="Arial"/>
                <w:color w:val="000000"/>
                <w:sz w:val="20"/>
                <w:lang w:eastAsia="en-GB"/>
              </w:rPr>
              <w:t>Asbestos Surveys &amp; Removals</w:t>
            </w:r>
          </w:p>
        </w:tc>
        <w:tc>
          <w:tcPr>
            <w:tcW w:w="1276" w:type="dxa"/>
            <w:tcBorders>
              <w:top w:val="nil"/>
              <w:left w:val="nil"/>
              <w:bottom w:val="single" w:sz="8" w:space="0" w:color="auto"/>
              <w:right w:val="single" w:sz="8" w:space="0" w:color="auto"/>
            </w:tcBorders>
            <w:shd w:val="clear" w:color="auto" w:fill="auto"/>
            <w:vAlign w:val="center"/>
          </w:tcPr>
          <w:p w14:paraId="4B082F83" w14:textId="434967D4" w:rsidR="004515CE" w:rsidRPr="00CD0ACD" w:rsidDel="00E4739F" w:rsidRDefault="004515CE" w:rsidP="004515CE">
            <w:pPr>
              <w:jc w:val="right"/>
              <w:rPr>
                <w:rFonts w:cs="Arial"/>
                <w:color w:val="000000"/>
                <w:sz w:val="20"/>
                <w:lang w:eastAsia="en-GB"/>
              </w:rPr>
            </w:pPr>
            <w:r>
              <w:rPr>
                <w:rFonts w:cs="Arial"/>
                <w:color w:val="000000"/>
                <w:sz w:val="20"/>
                <w:lang w:eastAsia="en-GB"/>
              </w:rPr>
              <w:t>40,000</w:t>
            </w:r>
          </w:p>
        </w:tc>
        <w:tc>
          <w:tcPr>
            <w:tcW w:w="1276" w:type="dxa"/>
            <w:tcBorders>
              <w:top w:val="nil"/>
              <w:left w:val="nil"/>
              <w:bottom w:val="single" w:sz="8" w:space="0" w:color="auto"/>
              <w:right w:val="single" w:sz="8" w:space="0" w:color="auto"/>
            </w:tcBorders>
            <w:shd w:val="clear" w:color="auto" w:fill="auto"/>
            <w:vAlign w:val="center"/>
          </w:tcPr>
          <w:p w14:paraId="1413A2D0" w14:textId="722111A5" w:rsidR="004515CE" w:rsidDel="00E4739F" w:rsidRDefault="004515CE" w:rsidP="004515CE">
            <w:pPr>
              <w:jc w:val="right"/>
              <w:rPr>
                <w:rFonts w:cs="Arial"/>
                <w:color w:val="000000"/>
                <w:sz w:val="20"/>
                <w:lang w:eastAsia="en-GB"/>
              </w:rPr>
            </w:pPr>
            <w:r>
              <w:rPr>
                <w:rFonts w:cs="Arial"/>
                <w:color w:val="000000"/>
                <w:sz w:val="20"/>
                <w:lang w:eastAsia="en-GB"/>
              </w:rPr>
              <w:t>80,000</w:t>
            </w: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14:paraId="5059C075" w14:textId="79AEDAC7" w:rsidR="004515CE" w:rsidRPr="00E74396" w:rsidDel="00E4739F" w:rsidRDefault="004515CE" w:rsidP="004515CE">
            <w:pPr>
              <w:jc w:val="right"/>
              <w:rPr>
                <w:rFonts w:cs="Arial"/>
                <w:b/>
                <w:bCs/>
                <w:color w:val="000000"/>
                <w:sz w:val="20"/>
                <w:lang w:eastAsia="en-GB"/>
              </w:rPr>
            </w:pPr>
            <w:r>
              <w:rPr>
                <w:rFonts w:cs="Arial"/>
                <w:b/>
                <w:bCs/>
                <w:color w:val="000000"/>
                <w:sz w:val="20"/>
                <w:lang w:eastAsia="en-GB"/>
              </w:rPr>
              <w:t>120,000</w:t>
            </w:r>
          </w:p>
        </w:tc>
        <w:tc>
          <w:tcPr>
            <w:tcW w:w="1366" w:type="dxa"/>
            <w:tcBorders>
              <w:top w:val="nil"/>
              <w:left w:val="nil"/>
              <w:bottom w:val="single" w:sz="8" w:space="0" w:color="auto"/>
              <w:right w:val="single" w:sz="8" w:space="0" w:color="auto"/>
            </w:tcBorders>
            <w:shd w:val="clear" w:color="auto" w:fill="auto"/>
            <w:vAlign w:val="center"/>
          </w:tcPr>
          <w:p w14:paraId="1E391981" w14:textId="440BFD9A" w:rsidR="004515CE" w:rsidRPr="00EB7DEB" w:rsidDel="00E4739F" w:rsidRDefault="004515CE" w:rsidP="004515CE">
            <w:pPr>
              <w:jc w:val="right"/>
              <w:rPr>
                <w:rFonts w:cs="Arial"/>
                <w:color w:val="000000"/>
                <w:sz w:val="20"/>
                <w:lang w:eastAsia="en-GB"/>
              </w:rPr>
            </w:pPr>
            <w:r>
              <w:rPr>
                <w:rFonts w:cs="Arial"/>
                <w:color w:val="000000"/>
                <w:sz w:val="20"/>
                <w:lang w:eastAsia="en-GB"/>
              </w:rPr>
              <w:t>80,000</w:t>
            </w:r>
          </w:p>
        </w:tc>
      </w:tr>
      <w:tr w:rsidR="004515CE" w:rsidRPr="00CD0ACD" w14:paraId="263BAF33" w14:textId="77777777" w:rsidTr="00A955D8">
        <w:trPr>
          <w:trHeight w:val="282"/>
        </w:trPr>
        <w:tc>
          <w:tcPr>
            <w:tcW w:w="2977" w:type="dxa"/>
            <w:tcBorders>
              <w:top w:val="nil"/>
              <w:left w:val="single" w:sz="8" w:space="0" w:color="auto"/>
              <w:bottom w:val="single" w:sz="8" w:space="0" w:color="auto"/>
              <w:right w:val="single" w:sz="8" w:space="0" w:color="auto"/>
            </w:tcBorders>
            <w:shd w:val="clear" w:color="000000" w:fill="F2F2F2"/>
            <w:vAlign w:val="center"/>
          </w:tcPr>
          <w:p w14:paraId="28FBCB0A" w14:textId="0C990921" w:rsidR="004515CE" w:rsidRPr="00E74396" w:rsidDel="00E4739F" w:rsidRDefault="004515CE" w:rsidP="004515CE">
            <w:pPr>
              <w:rPr>
                <w:rFonts w:cs="Arial"/>
                <w:color w:val="000000"/>
                <w:sz w:val="20"/>
                <w:lang w:eastAsia="en-GB"/>
              </w:rPr>
            </w:pPr>
            <w:r>
              <w:rPr>
                <w:rFonts w:cs="Arial"/>
                <w:color w:val="000000"/>
                <w:sz w:val="20"/>
                <w:lang w:eastAsia="en-GB"/>
              </w:rPr>
              <w:t>Staffing</w:t>
            </w:r>
          </w:p>
        </w:tc>
        <w:tc>
          <w:tcPr>
            <w:tcW w:w="1276" w:type="dxa"/>
            <w:tcBorders>
              <w:top w:val="nil"/>
              <w:left w:val="nil"/>
              <w:bottom w:val="single" w:sz="8" w:space="0" w:color="auto"/>
              <w:right w:val="single" w:sz="8" w:space="0" w:color="auto"/>
            </w:tcBorders>
            <w:shd w:val="clear" w:color="auto" w:fill="auto"/>
            <w:vAlign w:val="center"/>
          </w:tcPr>
          <w:p w14:paraId="5EA915C6" w14:textId="570BA984" w:rsidR="004515CE" w:rsidRPr="00CD0ACD" w:rsidDel="00E4739F" w:rsidRDefault="004515CE" w:rsidP="004515CE">
            <w:pPr>
              <w:jc w:val="right"/>
              <w:rPr>
                <w:rFonts w:cs="Arial"/>
                <w:color w:val="000000"/>
                <w:sz w:val="20"/>
                <w:lang w:eastAsia="en-GB"/>
              </w:rPr>
            </w:pPr>
            <w:r>
              <w:rPr>
                <w:rFonts w:cs="Arial"/>
                <w:color w:val="000000"/>
                <w:sz w:val="20"/>
                <w:lang w:eastAsia="en-GB"/>
              </w:rPr>
              <w:t>50,000</w:t>
            </w:r>
          </w:p>
        </w:tc>
        <w:tc>
          <w:tcPr>
            <w:tcW w:w="1276" w:type="dxa"/>
            <w:tcBorders>
              <w:top w:val="nil"/>
              <w:left w:val="nil"/>
              <w:bottom w:val="single" w:sz="8" w:space="0" w:color="auto"/>
              <w:right w:val="single" w:sz="8" w:space="0" w:color="auto"/>
            </w:tcBorders>
            <w:shd w:val="clear" w:color="auto" w:fill="auto"/>
            <w:vAlign w:val="center"/>
          </w:tcPr>
          <w:p w14:paraId="17B5304A" w14:textId="75732150" w:rsidR="004515CE" w:rsidDel="00E4739F" w:rsidRDefault="004515CE" w:rsidP="004515CE">
            <w:pPr>
              <w:jc w:val="right"/>
              <w:rPr>
                <w:rFonts w:cs="Arial"/>
                <w:color w:val="000000"/>
                <w:sz w:val="20"/>
                <w:lang w:eastAsia="en-GB"/>
              </w:rPr>
            </w:pPr>
            <w:r>
              <w:rPr>
                <w:rFonts w:cs="Arial"/>
                <w:color w:val="000000"/>
                <w:sz w:val="20"/>
                <w:lang w:eastAsia="en-GB"/>
              </w:rPr>
              <w:t>90,000</w:t>
            </w: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14:paraId="1D0A34D1" w14:textId="2B92DD59" w:rsidR="004515CE" w:rsidRPr="00E74396" w:rsidDel="00E4739F" w:rsidRDefault="004515CE" w:rsidP="004515CE">
            <w:pPr>
              <w:jc w:val="right"/>
              <w:rPr>
                <w:rFonts w:cs="Arial"/>
                <w:b/>
                <w:bCs/>
                <w:color w:val="000000"/>
                <w:sz w:val="20"/>
                <w:lang w:eastAsia="en-GB"/>
              </w:rPr>
            </w:pPr>
            <w:r>
              <w:rPr>
                <w:rFonts w:cs="Arial"/>
                <w:b/>
                <w:bCs/>
                <w:color w:val="000000"/>
                <w:sz w:val="20"/>
                <w:lang w:eastAsia="en-GB"/>
              </w:rPr>
              <w:t>140,000</w:t>
            </w:r>
          </w:p>
        </w:tc>
        <w:tc>
          <w:tcPr>
            <w:tcW w:w="1366" w:type="dxa"/>
            <w:tcBorders>
              <w:top w:val="nil"/>
              <w:left w:val="nil"/>
              <w:bottom w:val="single" w:sz="8" w:space="0" w:color="auto"/>
              <w:right w:val="single" w:sz="8" w:space="0" w:color="auto"/>
            </w:tcBorders>
            <w:shd w:val="clear" w:color="auto" w:fill="auto"/>
            <w:vAlign w:val="center"/>
          </w:tcPr>
          <w:p w14:paraId="2B98F6AA" w14:textId="3C425834" w:rsidR="004515CE" w:rsidRPr="00EB7DEB" w:rsidDel="00E4739F" w:rsidRDefault="004515CE" w:rsidP="004515CE">
            <w:pPr>
              <w:jc w:val="right"/>
              <w:rPr>
                <w:rFonts w:cs="Arial"/>
                <w:color w:val="000000"/>
                <w:sz w:val="20"/>
                <w:lang w:eastAsia="en-GB"/>
              </w:rPr>
            </w:pPr>
            <w:r>
              <w:rPr>
                <w:rFonts w:cs="Arial"/>
                <w:color w:val="000000"/>
                <w:sz w:val="20"/>
                <w:lang w:eastAsia="en-GB"/>
              </w:rPr>
              <w:t>90,000</w:t>
            </w:r>
          </w:p>
        </w:tc>
      </w:tr>
      <w:tr w:rsidR="004515CE" w:rsidRPr="00CD0ACD" w14:paraId="5A24205C" w14:textId="77777777" w:rsidTr="00A955D8">
        <w:trPr>
          <w:trHeight w:val="282"/>
        </w:trPr>
        <w:tc>
          <w:tcPr>
            <w:tcW w:w="2977" w:type="dxa"/>
            <w:tcBorders>
              <w:top w:val="nil"/>
              <w:left w:val="single" w:sz="8" w:space="0" w:color="auto"/>
              <w:bottom w:val="single" w:sz="8" w:space="0" w:color="auto"/>
              <w:right w:val="single" w:sz="8" w:space="0" w:color="auto"/>
            </w:tcBorders>
            <w:shd w:val="clear" w:color="000000" w:fill="F2F2F2"/>
            <w:vAlign w:val="center"/>
            <w:hideMark/>
          </w:tcPr>
          <w:p w14:paraId="69E447E8" w14:textId="35C22C6E" w:rsidR="004515CE" w:rsidRPr="00A955D8" w:rsidRDefault="004515CE" w:rsidP="004515CE">
            <w:pPr>
              <w:rPr>
                <w:rFonts w:cs="Arial"/>
                <w:color w:val="000000"/>
                <w:sz w:val="20"/>
                <w:lang w:eastAsia="en-GB"/>
              </w:rPr>
            </w:pPr>
            <w:r>
              <w:rPr>
                <w:rFonts w:cs="Arial"/>
                <w:color w:val="000000"/>
                <w:sz w:val="20"/>
                <w:lang w:eastAsia="en-GB"/>
              </w:rPr>
              <w:t>CDM – Construction Design Management Fee</w:t>
            </w:r>
          </w:p>
        </w:tc>
        <w:tc>
          <w:tcPr>
            <w:tcW w:w="1276" w:type="dxa"/>
            <w:tcBorders>
              <w:top w:val="nil"/>
              <w:left w:val="nil"/>
              <w:bottom w:val="single" w:sz="8" w:space="0" w:color="auto"/>
              <w:right w:val="single" w:sz="8" w:space="0" w:color="auto"/>
            </w:tcBorders>
            <w:shd w:val="clear" w:color="auto" w:fill="auto"/>
            <w:vAlign w:val="center"/>
            <w:hideMark/>
          </w:tcPr>
          <w:p w14:paraId="75A76E10" w14:textId="583E978F" w:rsidR="004515CE" w:rsidRPr="00CD0ACD" w:rsidRDefault="004515CE" w:rsidP="004515CE">
            <w:pPr>
              <w:jc w:val="right"/>
              <w:rPr>
                <w:rFonts w:cs="Arial"/>
                <w:color w:val="000000"/>
                <w:sz w:val="20"/>
                <w:lang w:eastAsia="en-GB"/>
              </w:rPr>
            </w:pPr>
            <w:r>
              <w:rPr>
                <w:rFonts w:cs="Arial"/>
                <w:color w:val="000000"/>
                <w:sz w:val="20"/>
                <w:lang w:eastAsia="en-GB"/>
              </w:rPr>
              <w:t>3000</w:t>
            </w:r>
          </w:p>
        </w:tc>
        <w:tc>
          <w:tcPr>
            <w:tcW w:w="1276" w:type="dxa"/>
            <w:tcBorders>
              <w:top w:val="nil"/>
              <w:left w:val="nil"/>
              <w:bottom w:val="single" w:sz="8" w:space="0" w:color="auto"/>
              <w:right w:val="single" w:sz="8" w:space="0" w:color="auto"/>
            </w:tcBorders>
            <w:shd w:val="clear" w:color="auto" w:fill="auto"/>
            <w:vAlign w:val="center"/>
            <w:hideMark/>
          </w:tcPr>
          <w:p w14:paraId="33365366" w14:textId="74492C87" w:rsidR="004515CE" w:rsidRPr="00CD0ACD" w:rsidRDefault="004515CE" w:rsidP="004515CE">
            <w:pPr>
              <w:jc w:val="right"/>
              <w:rPr>
                <w:rFonts w:cs="Arial"/>
                <w:color w:val="000000"/>
                <w:sz w:val="20"/>
                <w:lang w:eastAsia="en-GB"/>
              </w:rPr>
            </w:pPr>
            <w:r>
              <w:rPr>
                <w:rFonts w:cs="Arial"/>
                <w:color w:val="000000"/>
                <w:sz w:val="20"/>
                <w:lang w:eastAsia="en-GB"/>
              </w:rPr>
              <w:t>3000</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462A45FF" w14:textId="363E203E" w:rsidR="004515CE" w:rsidRPr="00A955D8" w:rsidRDefault="004515CE" w:rsidP="004515CE">
            <w:pPr>
              <w:jc w:val="right"/>
              <w:rPr>
                <w:rFonts w:cs="Arial"/>
                <w:b/>
                <w:bCs/>
                <w:color w:val="000000"/>
                <w:sz w:val="20"/>
                <w:lang w:eastAsia="en-GB"/>
              </w:rPr>
            </w:pPr>
            <w:r>
              <w:rPr>
                <w:rFonts w:cs="Arial"/>
                <w:b/>
                <w:bCs/>
                <w:color w:val="000000"/>
                <w:sz w:val="20"/>
                <w:lang w:eastAsia="en-GB"/>
              </w:rPr>
              <w:t>6000</w:t>
            </w:r>
          </w:p>
        </w:tc>
        <w:tc>
          <w:tcPr>
            <w:tcW w:w="1366" w:type="dxa"/>
            <w:tcBorders>
              <w:top w:val="nil"/>
              <w:left w:val="nil"/>
              <w:bottom w:val="single" w:sz="8" w:space="0" w:color="auto"/>
              <w:right w:val="single" w:sz="8" w:space="0" w:color="auto"/>
            </w:tcBorders>
            <w:shd w:val="clear" w:color="auto" w:fill="auto"/>
            <w:vAlign w:val="center"/>
            <w:hideMark/>
          </w:tcPr>
          <w:p w14:paraId="5ECC2E96" w14:textId="08F65996" w:rsidR="004515CE" w:rsidRPr="00EB7DEB" w:rsidRDefault="004515CE" w:rsidP="004515CE">
            <w:pPr>
              <w:jc w:val="right"/>
              <w:rPr>
                <w:rFonts w:cs="Arial"/>
                <w:color w:val="000000"/>
                <w:sz w:val="20"/>
                <w:lang w:eastAsia="en-GB"/>
              </w:rPr>
            </w:pPr>
            <w:r>
              <w:rPr>
                <w:rFonts w:cs="Arial"/>
                <w:color w:val="000000"/>
                <w:sz w:val="20"/>
                <w:lang w:eastAsia="en-GB"/>
              </w:rPr>
              <w:t>3000</w:t>
            </w:r>
          </w:p>
        </w:tc>
      </w:tr>
      <w:tr w:rsidR="004515CE" w:rsidRPr="00CD0ACD" w14:paraId="69B684B3" w14:textId="77777777" w:rsidTr="00A955D8">
        <w:trPr>
          <w:trHeight w:val="282"/>
        </w:trPr>
        <w:tc>
          <w:tcPr>
            <w:tcW w:w="2977" w:type="dxa"/>
            <w:tcBorders>
              <w:top w:val="nil"/>
              <w:left w:val="single" w:sz="8" w:space="0" w:color="auto"/>
              <w:bottom w:val="single" w:sz="8" w:space="0" w:color="auto"/>
              <w:right w:val="single" w:sz="8" w:space="0" w:color="auto"/>
            </w:tcBorders>
            <w:shd w:val="clear" w:color="000000" w:fill="F2F2F2"/>
            <w:vAlign w:val="center"/>
          </w:tcPr>
          <w:p w14:paraId="520DCD2A" w14:textId="4EBBAC30" w:rsidR="004515CE" w:rsidRPr="00D3755B" w:rsidDel="00E4739F" w:rsidRDefault="004515CE" w:rsidP="004515CE">
            <w:pPr>
              <w:rPr>
                <w:rFonts w:cs="Arial"/>
                <w:color w:val="000000"/>
                <w:sz w:val="20"/>
                <w:lang w:eastAsia="en-GB"/>
              </w:rPr>
            </w:pPr>
            <w:r>
              <w:rPr>
                <w:rFonts w:cs="Arial"/>
                <w:color w:val="000000"/>
                <w:sz w:val="20"/>
                <w:lang w:eastAsia="en-GB"/>
              </w:rPr>
              <w:t>Legal</w:t>
            </w:r>
          </w:p>
        </w:tc>
        <w:tc>
          <w:tcPr>
            <w:tcW w:w="1276" w:type="dxa"/>
            <w:tcBorders>
              <w:top w:val="nil"/>
              <w:left w:val="nil"/>
              <w:bottom w:val="single" w:sz="8" w:space="0" w:color="auto"/>
              <w:right w:val="single" w:sz="8" w:space="0" w:color="auto"/>
            </w:tcBorders>
            <w:shd w:val="clear" w:color="auto" w:fill="auto"/>
            <w:vAlign w:val="center"/>
          </w:tcPr>
          <w:p w14:paraId="76849A33" w14:textId="6DD77BD9" w:rsidR="004515CE" w:rsidRPr="00CD0ACD" w:rsidDel="00E4739F" w:rsidRDefault="004515CE" w:rsidP="004515CE">
            <w:pPr>
              <w:jc w:val="right"/>
              <w:rPr>
                <w:rFonts w:cs="Arial"/>
                <w:color w:val="000000"/>
                <w:sz w:val="20"/>
                <w:lang w:eastAsia="en-GB"/>
              </w:rPr>
            </w:pPr>
            <w:r>
              <w:rPr>
                <w:rFonts w:cs="Arial"/>
                <w:color w:val="000000"/>
                <w:sz w:val="20"/>
                <w:lang w:eastAsia="en-GB"/>
              </w:rPr>
              <w:t>500</w:t>
            </w:r>
          </w:p>
        </w:tc>
        <w:tc>
          <w:tcPr>
            <w:tcW w:w="1276" w:type="dxa"/>
            <w:tcBorders>
              <w:top w:val="nil"/>
              <w:left w:val="nil"/>
              <w:bottom w:val="single" w:sz="8" w:space="0" w:color="auto"/>
              <w:right w:val="single" w:sz="8" w:space="0" w:color="auto"/>
            </w:tcBorders>
            <w:shd w:val="clear" w:color="auto" w:fill="auto"/>
            <w:vAlign w:val="center"/>
          </w:tcPr>
          <w:p w14:paraId="581C7D7A" w14:textId="7EB7220C" w:rsidR="004515CE" w:rsidDel="00E4739F" w:rsidRDefault="004515CE" w:rsidP="004515CE">
            <w:pPr>
              <w:jc w:val="right"/>
              <w:rPr>
                <w:rFonts w:cs="Arial"/>
                <w:color w:val="000000"/>
                <w:sz w:val="20"/>
                <w:lang w:eastAsia="en-GB"/>
              </w:rPr>
            </w:pPr>
            <w:r>
              <w:rPr>
                <w:rFonts w:cs="Arial"/>
                <w:color w:val="000000"/>
                <w:sz w:val="20"/>
                <w:lang w:eastAsia="en-GB"/>
              </w:rPr>
              <w:t>500</w:t>
            </w: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14:paraId="5806A156" w14:textId="52A22E0E" w:rsidR="004515CE" w:rsidRPr="00D3755B" w:rsidDel="00E4739F" w:rsidRDefault="004515CE" w:rsidP="004515CE">
            <w:pPr>
              <w:jc w:val="right"/>
              <w:rPr>
                <w:rFonts w:cs="Arial"/>
                <w:b/>
                <w:bCs/>
                <w:color w:val="000000"/>
                <w:sz w:val="20"/>
                <w:lang w:eastAsia="en-GB"/>
              </w:rPr>
            </w:pPr>
            <w:r>
              <w:rPr>
                <w:rFonts w:cs="Arial"/>
                <w:b/>
                <w:bCs/>
                <w:color w:val="000000"/>
                <w:sz w:val="20"/>
                <w:lang w:eastAsia="en-GB"/>
              </w:rPr>
              <w:t>1000</w:t>
            </w:r>
          </w:p>
        </w:tc>
        <w:tc>
          <w:tcPr>
            <w:tcW w:w="1366" w:type="dxa"/>
            <w:tcBorders>
              <w:top w:val="nil"/>
              <w:left w:val="nil"/>
              <w:bottom w:val="single" w:sz="8" w:space="0" w:color="auto"/>
              <w:right w:val="single" w:sz="8" w:space="0" w:color="auto"/>
            </w:tcBorders>
            <w:shd w:val="clear" w:color="auto" w:fill="auto"/>
            <w:vAlign w:val="center"/>
          </w:tcPr>
          <w:p w14:paraId="11684F4A" w14:textId="32CDA721" w:rsidR="004515CE" w:rsidRPr="00EB7DEB" w:rsidDel="00E4739F" w:rsidRDefault="004515CE" w:rsidP="004515CE">
            <w:pPr>
              <w:jc w:val="right"/>
              <w:rPr>
                <w:rFonts w:cs="Arial"/>
                <w:color w:val="000000"/>
                <w:sz w:val="20"/>
                <w:lang w:eastAsia="en-GB"/>
              </w:rPr>
            </w:pPr>
            <w:r>
              <w:rPr>
                <w:rFonts w:cs="Arial"/>
                <w:color w:val="000000"/>
                <w:sz w:val="20"/>
                <w:lang w:eastAsia="en-GB"/>
              </w:rPr>
              <w:t>500</w:t>
            </w:r>
          </w:p>
        </w:tc>
      </w:tr>
      <w:tr w:rsidR="004515CE" w:rsidRPr="00A955D8" w14:paraId="06FA64F7" w14:textId="77777777" w:rsidTr="003122E4">
        <w:trPr>
          <w:trHeight w:val="432"/>
        </w:trPr>
        <w:tc>
          <w:tcPr>
            <w:tcW w:w="2977" w:type="dxa"/>
            <w:tcBorders>
              <w:top w:val="nil"/>
              <w:left w:val="single" w:sz="8" w:space="0" w:color="auto"/>
              <w:bottom w:val="single" w:sz="8" w:space="0" w:color="auto"/>
              <w:right w:val="single" w:sz="8" w:space="0" w:color="auto"/>
            </w:tcBorders>
            <w:shd w:val="clear" w:color="000000" w:fill="F2F2F2"/>
            <w:vAlign w:val="center"/>
            <w:hideMark/>
          </w:tcPr>
          <w:p w14:paraId="5995D8C5" w14:textId="03A7FF69" w:rsidR="004515CE" w:rsidRPr="00A955D8" w:rsidRDefault="004515CE" w:rsidP="004515CE">
            <w:pPr>
              <w:jc w:val="right"/>
              <w:rPr>
                <w:rFonts w:cs="Arial"/>
                <w:b/>
                <w:bCs/>
                <w:color w:val="000000"/>
                <w:sz w:val="20"/>
                <w:lang w:eastAsia="en-GB"/>
              </w:rPr>
            </w:pPr>
            <w:r w:rsidRPr="00A955D8">
              <w:rPr>
                <w:rFonts w:cs="Arial"/>
                <w:b/>
                <w:bCs/>
                <w:color w:val="000000"/>
                <w:sz w:val="20"/>
                <w:lang w:eastAsia="en-GB"/>
              </w:rPr>
              <w:t> </w:t>
            </w:r>
            <w:r w:rsidRPr="00E863BD">
              <w:rPr>
                <w:rFonts w:cs="Arial"/>
                <w:b/>
                <w:bCs/>
                <w:color w:val="000000"/>
                <w:sz w:val="20"/>
                <w:lang w:eastAsia="en-GB"/>
              </w:rPr>
              <w:t>Total</w:t>
            </w:r>
            <w:r>
              <w:rPr>
                <w:rFonts w:cs="Arial"/>
                <w:b/>
                <w:bCs/>
                <w:color w:val="000000"/>
                <w:sz w:val="20"/>
                <w:lang w:eastAsia="en-GB"/>
              </w:rPr>
              <w:t xml:space="preserve"> Kitchen &amp; Bathrooms</w:t>
            </w:r>
          </w:p>
        </w:tc>
        <w:tc>
          <w:tcPr>
            <w:tcW w:w="1276" w:type="dxa"/>
            <w:tcBorders>
              <w:top w:val="nil"/>
              <w:left w:val="nil"/>
              <w:bottom w:val="single" w:sz="8" w:space="0" w:color="auto"/>
              <w:right w:val="single" w:sz="8" w:space="0" w:color="FFC000"/>
            </w:tcBorders>
            <w:shd w:val="clear" w:color="000000" w:fill="E5DFEC"/>
            <w:vAlign w:val="center"/>
          </w:tcPr>
          <w:p w14:paraId="64A9E471" w14:textId="169160E0" w:rsidR="004515CE" w:rsidRPr="00E863BD" w:rsidRDefault="004515CE" w:rsidP="004515CE">
            <w:pPr>
              <w:jc w:val="right"/>
              <w:rPr>
                <w:rFonts w:cs="Arial"/>
                <w:b/>
                <w:bCs/>
                <w:color w:val="000000"/>
                <w:sz w:val="20"/>
                <w:lang w:eastAsia="en-GB"/>
              </w:rPr>
            </w:pPr>
            <w:r w:rsidRPr="00A955D8">
              <w:rPr>
                <w:rFonts w:cs="Arial"/>
                <w:b/>
                <w:bCs/>
                <w:color w:val="000000"/>
                <w:sz w:val="20"/>
              </w:rPr>
              <w:t>1,034,500</w:t>
            </w:r>
          </w:p>
        </w:tc>
        <w:tc>
          <w:tcPr>
            <w:tcW w:w="1276" w:type="dxa"/>
            <w:tcBorders>
              <w:top w:val="nil"/>
              <w:left w:val="nil"/>
              <w:bottom w:val="single" w:sz="8" w:space="0" w:color="auto"/>
              <w:right w:val="single" w:sz="8" w:space="0" w:color="auto"/>
            </w:tcBorders>
            <w:shd w:val="clear" w:color="000000" w:fill="E5DFEC"/>
            <w:vAlign w:val="center"/>
          </w:tcPr>
          <w:p w14:paraId="64ADABF3" w14:textId="623E3A94" w:rsidR="004515CE" w:rsidRPr="00E863BD" w:rsidRDefault="004515CE" w:rsidP="004515CE">
            <w:pPr>
              <w:jc w:val="right"/>
              <w:rPr>
                <w:rFonts w:cs="Arial"/>
                <w:b/>
                <w:bCs/>
                <w:color w:val="000000"/>
                <w:sz w:val="20"/>
                <w:lang w:eastAsia="en-GB"/>
              </w:rPr>
            </w:pPr>
            <w:r w:rsidRPr="00A955D8">
              <w:rPr>
                <w:rFonts w:cs="Arial"/>
                <w:b/>
                <w:bCs/>
                <w:color w:val="000000"/>
                <w:sz w:val="20"/>
              </w:rPr>
              <w:t>1,975,500</w:t>
            </w: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14:paraId="75AA6E81" w14:textId="085A2B5E" w:rsidR="004515CE" w:rsidRPr="00E863BD" w:rsidRDefault="004515CE" w:rsidP="004515CE">
            <w:pPr>
              <w:jc w:val="right"/>
              <w:rPr>
                <w:rFonts w:cs="Arial"/>
                <w:b/>
                <w:bCs/>
                <w:color w:val="000000"/>
                <w:sz w:val="20"/>
                <w:lang w:eastAsia="en-GB"/>
              </w:rPr>
            </w:pPr>
            <w:r w:rsidRPr="00A955D8">
              <w:rPr>
                <w:rFonts w:cs="Arial"/>
                <w:b/>
                <w:bCs/>
                <w:color w:val="000000"/>
                <w:sz w:val="20"/>
              </w:rPr>
              <w:t>3,01</w:t>
            </w:r>
            <w:r>
              <w:rPr>
                <w:rFonts w:cs="Arial"/>
                <w:b/>
                <w:bCs/>
                <w:color w:val="000000"/>
                <w:sz w:val="20"/>
              </w:rPr>
              <w:t>0</w:t>
            </w:r>
            <w:r w:rsidRPr="00A955D8">
              <w:rPr>
                <w:rFonts w:cs="Arial"/>
                <w:b/>
                <w:bCs/>
                <w:color w:val="000000"/>
                <w:sz w:val="20"/>
              </w:rPr>
              <w:t>,000</w:t>
            </w:r>
          </w:p>
        </w:tc>
        <w:tc>
          <w:tcPr>
            <w:tcW w:w="1366" w:type="dxa"/>
            <w:tcBorders>
              <w:top w:val="nil"/>
              <w:left w:val="nil"/>
              <w:bottom w:val="single" w:sz="8" w:space="0" w:color="auto"/>
              <w:right w:val="single" w:sz="8" w:space="0" w:color="auto"/>
            </w:tcBorders>
            <w:shd w:val="clear" w:color="000000" w:fill="E5DFEC"/>
            <w:vAlign w:val="center"/>
          </w:tcPr>
          <w:p w14:paraId="265E33EA" w14:textId="063E6256" w:rsidR="004515CE" w:rsidRPr="00E863BD" w:rsidRDefault="004515CE" w:rsidP="004515CE">
            <w:pPr>
              <w:jc w:val="right"/>
              <w:rPr>
                <w:rFonts w:cs="Arial"/>
                <w:b/>
                <w:bCs/>
                <w:color w:val="000000"/>
                <w:sz w:val="20"/>
                <w:lang w:eastAsia="en-GB"/>
              </w:rPr>
            </w:pPr>
            <w:r w:rsidRPr="00A955D8">
              <w:rPr>
                <w:rFonts w:cs="Arial"/>
                <w:b/>
                <w:bCs/>
                <w:color w:val="000000"/>
                <w:sz w:val="20"/>
              </w:rPr>
              <w:t>1,975,500</w:t>
            </w:r>
          </w:p>
        </w:tc>
      </w:tr>
    </w:tbl>
    <w:p w14:paraId="438F24FB" w14:textId="77777777" w:rsidR="003C100D" w:rsidRPr="00A955D8" w:rsidRDefault="003C100D" w:rsidP="009B1759">
      <w:pPr>
        <w:rPr>
          <w:rFonts w:cs="Arial"/>
          <w:b/>
          <w:bCs/>
        </w:rPr>
      </w:pPr>
    </w:p>
    <w:tbl>
      <w:tblPr>
        <w:tblpPr w:leftFromText="180" w:rightFromText="180" w:vertAnchor="text" w:horzAnchor="margin" w:tblpY="-5"/>
        <w:tblW w:w="8596" w:type="dxa"/>
        <w:tblLayout w:type="fixed"/>
        <w:tblLook w:val="04A0" w:firstRow="1" w:lastRow="0" w:firstColumn="1" w:lastColumn="0" w:noHBand="0" w:noVBand="1"/>
      </w:tblPr>
      <w:tblGrid>
        <w:gridCol w:w="2967"/>
        <w:gridCol w:w="1276"/>
        <w:gridCol w:w="1286"/>
        <w:gridCol w:w="1627"/>
        <w:gridCol w:w="1440"/>
      </w:tblGrid>
      <w:tr w:rsidR="0025472B" w:rsidRPr="00CD0ACD" w14:paraId="1C95996D" w14:textId="77777777" w:rsidTr="003122E4">
        <w:trPr>
          <w:trHeight w:val="538"/>
        </w:trPr>
        <w:tc>
          <w:tcPr>
            <w:tcW w:w="8596" w:type="dxa"/>
            <w:gridSpan w:val="5"/>
            <w:tcBorders>
              <w:top w:val="single" w:sz="8" w:space="0" w:color="auto"/>
              <w:left w:val="single" w:sz="8" w:space="0" w:color="auto"/>
              <w:bottom w:val="single" w:sz="8" w:space="0" w:color="auto"/>
              <w:right w:val="single" w:sz="8" w:space="0" w:color="000000"/>
            </w:tcBorders>
            <w:shd w:val="clear" w:color="000000" w:fill="CCC0D9"/>
            <w:vAlign w:val="center"/>
            <w:hideMark/>
          </w:tcPr>
          <w:p w14:paraId="0D15E8EE" w14:textId="7C375570" w:rsidR="0025472B" w:rsidRPr="00CD0ACD" w:rsidRDefault="003122E4" w:rsidP="0025472B">
            <w:pPr>
              <w:rPr>
                <w:rFonts w:cs="Arial"/>
                <w:b/>
                <w:bCs/>
                <w:color w:val="000000"/>
                <w:sz w:val="20"/>
                <w:lang w:eastAsia="en-GB"/>
              </w:rPr>
            </w:pPr>
            <w:r>
              <w:rPr>
                <w:rFonts w:cs="Arial"/>
                <w:b/>
                <w:bCs/>
                <w:color w:val="000000"/>
                <w:sz w:val="20"/>
                <w:lang w:eastAsia="en-GB"/>
              </w:rPr>
              <w:t>10.3b Table</w:t>
            </w:r>
            <w:r w:rsidR="0025472B">
              <w:rPr>
                <w:rFonts w:cs="Arial"/>
                <w:b/>
                <w:bCs/>
                <w:color w:val="000000"/>
                <w:sz w:val="20"/>
                <w:lang w:eastAsia="en-GB"/>
              </w:rPr>
              <w:t xml:space="preserve"> </w:t>
            </w:r>
            <w:r>
              <w:rPr>
                <w:rFonts w:cs="Arial"/>
                <w:b/>
                <w:bCs/>
                <w:color w:val="000000"/>
                <w:sz w:val="20"/>
                <w:lang w:eastAsia="en-GB"/>
              </w:rPr>
              <w:t>2</w:t>
            </w:r>
            <w:r w:rsidRPr="00CD0ACD">
              <w:rPr>
                <w:rFonts w:cs="Arial"/>
                <w:b/>
                <w:bCs/>
                <w:color w:val="000000"/>
                <w:sz w:val="20"/>
                <w:lang w:eastAsia="en-GB"/>
              </w:rPr>
              <w:t>:</w:t>
            </w:r>
            <w:r w:rsidR="0025472B" w:rsidRPr="00CD0ACD">
              <w:rPr>
                <w:rFonts w:cs="Arial"/>
                <w:b/>
                <w:bCs/>
                <w:color w:val="000000"/>
                <w:sz w:val="20"/>
                <w:lang w:eastAsia="en-GB"/>
              </w:rPr>
              <w:t xml:space="preserve"> </w:t>
            </w:r>
            <w:r w:rsidR="0025472B" w:rsidRPr="00EB7DEB">
              <w:rPr>
                <w:rFonts w:cs="Arial"/>
                <w:b/>
                <w:bCs/>
                <w:color w:val="000000"/>
                <w:sz w:val="20"/>
                <w:lang w:eastAsia="en-GB"/>
              </w:rPr>
              <w:t>Windows &amp; Doors</w:t>
            </w:r>
            <w:r w:rsidR="0025472B" w:rsidRPr="00CD0ACD">
              <w:rPr>
                <w:rFonts w:cs="Arial"/>
                <w:b/>
                <w:bCs/>
                <w:color w:val="000000"/>
                <w:sz w:val="20"/>
                <w:lang w:eastAsia="en-GB"/>
              </w:rPr>
              <w:t xml:space="preserve"> Finance</w:t>
            </w:r>
          </w:p>
        </w:tc>
      </w:tr>
      <w:tr w:rsidR="004048D8" w:rsidRPr="00CD0ACD" w14:paraId="51320BEF" w14:textId="77777777" w:rsidTr="003122E4">
        <w:trPr>
          <w:trHeight w:val="541"/>
        </w:trPr>
        <w:tc>
          <w:tcPr>
            <w:tcW w:w="2967" w:type="dxa"/>
            <w:tcBorders>
              <w:top w:val="nil"/>
              <w:left w:val="single" w:sz="8" w:space="0" w:color="auto"/>
              <w:bottom w:val="single" w:sz="8" w:space="0" w:color="auto"/>
              <w:right w:val="single" w:sz="8" w:space="0" w:color="auto"/>
            </w:tcBorders>
            <w:shd w:val="clear" w:color="000000" w:fill="D9D9D9"/>
            <w:vAlign w:val="center"/>
            <w:hideMark/>
          </w:tcPr>
          <w:p w14:paraId="322BAF75" w14:textId="002E9246" w:rsidR="0025472B" w:rsidRPr="00CD0ACD" w:rsidRDefault="0025472B" w:rsidP="0025472B">
            <w:pPr>
              <w:jc w:val="center"/>
              <w:rPr>
                <w:rFonts w:cs="Arial"/>
                <w:b/>
                <w:bCs/>
                <w:color w:val="000000"/>
                <w:sz w:val="20"/>
                <w:lang w:eastAsia="en-GB"/>
              </w:rPr>
            </w:pPr>
            <w:r w:rsidRPr="00EB7DEB">
              <w:rPr>
                <w:rFonts w:cs="Arial"/>
                <w:b/>
                <w:bCs/>
                <w:color w:val="000000"/>
                <w:sz w:val="20"/>
                <w:lang w:eastAsia="en-GB"/>
              </w:rPr>
              <w:t>Windows &amp; Doors</w:t>
            </w:r>
            <w:r w:rsidR="009A725D">
              <w:rPr>
                <w:rFonts w:cs="Arial"/>
                <w:b/>
                <w:bCs/>
                <w:color w:val="000000"/>
                <w:sz w:val="20"/>
                <w:lang w:eastAsia="en-GB"/>
              </w:rPr>
              <w:t xml:space="preserve"> (W&amp;D)</w:t>
            </w:r>
          </w:p>
        </w:tc>
        <w:tc>
          <w:tcPr>
            <w:tcW w:w="1276" w:type="dxa"/>
            <w:tcBorders>
              <w:top w:val="nil"/>
              <w:left w:val="nil"/>
              <w:bottom w:val="single" w:sz="8" w:space="0" w:color="auto"/>
              <w:right w:val="single" w:sz="8" w:space="0" w:color="auto"/>
            </w:tcBorders>
            <w:shd w:val="clear" w:color="000000" w:fill="D9D9D9"/>
            <w:vAlign w:val="center"/>
            <w:hideMark/>
          </w:tcPr>
          <w:p w14:paraId="50F6F292" w14:textId="77777777" w:rsidR="0025472B" w:rsidRPr="00CD0ACD" w:rsidRDefault="0025472B" w:rsidP="0025472B">
            <w:pPr>
              <w:jc w:val="center"/>
              <w:rPr>
                <w:rFonts w:cs="Arial"/>
                <w:b/>
                <w:bCs/>
                <w:color w:val="000000"/>
                <w:sz w:val="20"/>
                <w:lang w:eastAsia="en-GB"/>
              </w:rPr>
            </w:pPr>
            <w:r w:rsidRPr="00CD0ACD">
              <w:rPr>
                <w:rFonts w:cs="Arial"/>
                <w:b/>
                <w:bCs/>
                <w:color w:val="000000"/>
                <w:sz w:val="20"/>
                <w:lang w:eastAsia="en-GB"/>
              </w:rPr>
              <w:t>Spend 202</w:t>
            </w:r>
            <w:r>
              <w:rPr>
                <w:rFonts w:cs="Arial"/>
                <w:b/>
                <w:bCs/>
                <w:color w:val="000000"/>
                <w:sz w:val="20"/>
                <w:lang w:eastAsia="en-GB"/>
              </w:rPr>
              <w:t>3</w:t>
            </w:r>
            <w:r w:rsidRPr="00CD0ACD">
              <w:rPr>
                <w:rFonts w:cs="Arial"/>
                <w:b/>
                <w:bCs/>
                <w:color w:val="000000"/>
                <w:sz w:val="20"/>
                <w:lang w:eastAsia="en-GB"/>
              </w:rPr>
              <w:t>-2</w:t>
            </w:r>
            <w:r>
              <w:rPr>
                <w:rFonts w:cs="Arial"/>
                <w:b/>
                <w:bCs/>
                <w:color w:val="000000"/>
                <w:sz w:val="20"/>
                <w:lang w:eastAsia="en-GB"/>
              </w:rPr>
              <w:t>4</w:t>
            </w:r>
          </w:p>
        </w:tc>
        <w:tc>
          <w:tcPr>
            <w:tcW w:w="1286" w:type="dxa"/>
            <w:tcBorders>
              <w:top w:val="nil"/>
              <w:left w:val="nil"/>
              <w:bottom w:val="single" w:sz="8" w:space="0" w:color="auto"/>
              <w:right w:val="single" w:sz="8" w:space="0" w:color="auto"/>
            </w:tcBorders>
            <w:shd w:val="clear" w:color="auto" w:fill="D9D9D9" w:themeFill="background1" w:themeFillShade="D9"/>
            <w:vAlign w:val="center"/>
            <w:hideMark/>
          </w:tcPr>
          <w:p w14:paraId="2CC4A76D" w14:textId="77777777" w:rsidR="0025472B" w:rsidRPr="00CD0ACD" w:rsidRDefault="0025472B" w:rsidP="0025472B">
            <w:pPr>
              <w:jc w:val="center"/>
              <w:rPr>
                <w:rFonts w:cs="Arial"/>
                <w:b/>
                <w:bCs/>
                <w:color w:val="000000"/>
                <w:sz w:val="20"/>
                <w:lang w:eastAsia="en-GB"/>
              </w:rPr>
            </w:pPr>
            <w:r w:rsidRPr="00CD0ACD">
              <w:rPr>
                <w:rFonts w:cs="Arial"/>
                <w:b/>
                <w:bCs/>
                <w:color w:val="000000"/>
                <w:sz w:val="20"/>
                <w:lang w:eastAsia="en-GB"/>
              </w:rPr>
              <w:t>Spend 202</w:t>
            </w:r>
            <w:r>
              <w:rPr>
                <w:rFonts w:cs="Arial"/>
                <w:b/>
                <w:bCs/>
                <w:color w:val="000000"/>
                <w:sz w:val="20"/>
                <w:lang w:eastAsia="en-GB"/>
              </w:rPr>
              <w:t>4</w:t>
            </w:r>
            <w:r w:rsidRPr="00CD0ACD">
              <w:rPr>
                <w:rFonts w:cs="Arial"/>
                <w:b/>
                <w:bCs/>
                <w:color w:val="000000"/>
                <w:sz w:val="20"/>
                <w:lang w:eastAsia="en-GB"/>
              </w:rPr>
              <w:t>-2</w:t>
            </w:r>
            <w:r>
              <w:rPr>
                <w:rFonts w:cs="Arial"/>
                <w:b/>
                <w:bCs/>
                <w:color w:val="000000"/>
                <w:sz w:val="20"/>
                <w:lang w:eastAsia="en-GB"/>
              </w:rPr>
              <w:t>5</w:t>
            </w:r>
          </w:p>
        </w:tc>
        <w:tc>
          <w:tcPr>
            <w:tcW w:w="1627" w:type="dxa"/>
            <w:tcBorders>
              <w:top w:val="nil"/>
              <w:left w:val="nil"/>
              <w:bottom w:val="single" w:sz="8" w:space="0" w:color="auto"/>
              <w:right w:val="single" w:sz="8" w:space="0" w:color="auto"/>
            </w:tcBorders>
            <w:shd w:val="clear" w:color="auto" w:fill="D9D9D9" w:themeFill="background1" w:themeFillShade="D9"/>
            <w:vAlign w:val="center"/>
            <w:hideMark/>
          </w:tcPr>
          <w:p w14:paraId="0F57D904" w14:textId="77777777" w:rsidR="0025472B" w:rsidRPr="00CD0ACD" w:rsidRDefault="0025472B" w:rsidP="0025472B">
            <w:pPr>
              <w:jc w:val="center"/>
              <w:rPr>
                <w:rFonts w:cs="Arial"/>
                <w:b/>
                <w:bCs/>
                <w:color w:val="000000"/>
                <w:sz w:val="20"/>
                <w:lang w:eastAsia="en-GB"/>
              </w:rPr>
            </w:pPr>
            <w:r>
              <w:rPr>
                <w:rFonts w:cs="Arial"/>
                <w:b/>
                <w:bCs/>
                <w:color w:val="000000"/>
                <w:sz w:val="20"/>
                <w:lang w:eastAsia="en-GB"/>
              </w:rPr>
              <w:t xml:space="preserve">2-Year Programme </w:t>
            </w:r>
            <w:r w:rsidRPr="00CD0ACD">
              <w:rPr>
                <w:rFonts w:cs="Arial"/>
                <w:b/>
                <w:bCs/>
                <w:color w:val="000000"/>
                <w:sz w:val="20"/>
                <w:lang w:eastAsia="en-GB"/>
              </w:rPr>
              <w:t>Budget</w:t>
            </w:r>
          </w:p>
        </w:tc>
        <w:tc>
          <w:tcPr>
            <w:tcW w:w="1440" w:type="dxa"/>
            <w:tcBorders>
              <w:top w:val="nil"/>
              <w:left w:val="nil"/>
              <w:bottom w:val="single" w:sz="8" w:space="0" w:color="auto"/>
              <w:right w:val="single" w:sz="8" w:space="0" w:color="auto"/>
            </w:tcBorders>
            <w:shd w:val="clear" w:color="000000" w:fill="D9D9D9"/>
            <w:vAlign w:val="center"/>
            <w:hideMark/>
          </w:tcPr>
          <w:p w14:paraId="382D2ED1" w14:textId="77777777" w:rsidR="0025472B" w:rsidRDefault="0025472B" w:rsidP="0025472B">
            <w:pPr>
              <w:jc w:val="center"/>
              <w:rPr>
                <w:rFonts w:cs="Arial"/>
                <w:b/>
                <w:bCs/>
                <w:color w:val="000000"/>
                <w:sz w:val="20"/>
                <w:lang w:eastAsia="en-GB"/>
              </w:rPr>
            </w:pPr>
            <w:r>
              <w:rPr>
                <w:rFonts w:cs="Arial"/>
                <w:b/>
                <w:bCs/>
                <w:color w:val="000000"/>
                <w:sz w:val="20"/>
                <w:lang w:eastAsia="en-GB"/>
              </w:rPr>
              <w:t xml:space="preserve">Option Extension Year </w:t>
            </w:r>
          </w:p>
          <w:p w14:paraId="3869E2E4" w14:textId="77777777" w:rsidR="0025472B" w:rsidRPr="00CD0ACD" w:rsidRDefault="0025472B" w:rsidP="0025472B">
            <w:pPr>
              <w:jc w:val="center"/>
              <w:rPr>
                <w:rFonts w:cs="Arial"/>
                <w:b/>
                <w:bCs/>
                <w:color w:val="000000"/>
                <w:sz w:val="20"/>
                <w:lang w:eastAsia="en-GB"/>
              </w:rPr>
            </w:pPr>
            <w:r w:rsidRPr="00CD0ACD">
              <w:rPr>
                <w:rFonts w:cs="Arial"/>
                <w:b/>
                <w:bCs/>
                <w:color w:val="000000"/>
                <w:sz w:val="20"/>
                <w:lang w:eastAsia="en-GB"/>
              </w:rPr>
              <w:t>Spend 202</w:t>
            </w:r>
            <w:r>
              <w:rPr>
                <w:rFonts w:cs="Arial"/>
                <w:b/>
                <w:bCs/>
                <w:color w:val="000000"/>
                <w:sz w:val="20"/>
                <w:lang w:eastAsia="en-GB"/>
              </w:rPr>
              <w:t>5</w:t>
            </w:r>
            <w:r w:rsidRPr="00CD0ACD">
              <w:rPr>
                <w:rFonts w:cs="Arial"/>
                <w:b/>
                <w:bCs/>
                <w:color w:val="000000"/>
                <w:sz w:val="20"/>
                <w:lang w:eastAsia="en-GB"/>
              </w:rPr>
              <w:t>-2</w:t>
            </w:r>
            <w:r>
              <w:rPr>
                <w:rFonts w:cs="Arial"/>
                <w:b/>
                <w:bCs/>
                <w:color w:val="000000"/>
                <w:sz w:val="20"/>
                <w:lang w:eastAsia="en-GB"/>
              </w:rPr>
              <w:t>6</w:t>
            </w:r>
          </w:p>
        </w:tc>
      </w:tr>
      <w:tr w:rsidR="004048D8" w:rsidRPr="00CD0ACD" w14:paraId="53365054" w14:textId="77777777" w:rsidTr="003122E4">
        <w:trPr>
          <w:trHeight w:val="297"/>
        </w:trPr>
        <w:tc>
          <w:tcPr>
            <w:tcW w:w="2967" w:type="dxa"/>
            <w:tcBorders>
              <w:top w:val="nil"/>
              <w:left w:val="single" w:sz="8" w:space="0" w:color="auto"/>
              <w:bottom w:val="single" w:sz="8" w:space="0" w:color="auto"/>
              <w:right w:val="single" w:sz="8" w:space="0" w:color="auto"/>
            </w:tcBorders>
            <w:shd w:val="clear" w:color="000000" w:fill="F2F2F2"/>
            <w:vAlign w:val="center"/>
            <w:hideMark/>
          </w:tcPr>
          <w:p w14:paraId="0800B821" w14:textId="77777777" w:rsidR="0025472B" w:rsidRPr="00E74396" w:rsidRDefault="0025472B" w:rsidP="0025472B">
            <w:pPr>
              <w:rPr>
                <w:rFonts w:cs="Arial"/>
                <w:color w:val="000000"/>
                <w:sz w:val="20"/>
                <w:lang w:eastAsia="en-GB"/>
              </w:rPr>
            </w:pPr>
            <w:r>
              <w:rPr>
                <w:rFonts w:cs="Arial"/>
                <w:b/>
                <w:bCs/>
                <w:color w:val="000000"/>
                <w:sz w:val="20"/>
                <w:lang w:eastAsia="en-GB"/>
              </w:rPr>
              <w:t>Element</w:t>
            </w:r>
          </w:p>
        </w:tc>
        <w:tc>
          <w:tcPr>
            <w:tcW w:w="1276" w:type="dxa"/>
            <w:tcBorders>
              <w:top w:val="nil"/>
              <w:left w:val="nil"/>
              <w:bottom w:val="single" w:sz="8" w:space="0" w:color="auto"/>
              <w:right w:val="single" w:sz="8" w:space="0" w:color="auto"/>
            </w:tcBorders>
            <w:shd w:val="clear" w:color="auto" w:fill="auto"/>
            <w:vAlign w:val="center"/>
            <w:hideMark/>
          </w:tcPr>
          <w:p w14:paraId="1EA47779" w14:textId="77777777" w:rsidR="0025472B" w:rsidRPr="00CD0ACD" w:rsidRDefault="0025472B" w:rsidP="0025472B">
            <w:pPr>
              <w:jc w:val="center"/>
              <w:rPr>
                <w:rFonts w:cs="Arial"/>
                <w:color w:val="000000"/>
                <w:sz w:val="20"/>
                <w:lang w:eastAsia="en-GB"/>
              </w:rPr>
            </w:pPr>
            <w:r w:rsidRPr="00CD0ACD">
              <w:rPr>
                <w:rFonts w:cs="Arial"/>
                <w:b/>
                <w:bCs/>
                <w:color w:val="000000"/>
                <w:sz w:val="20"/>
                <w:lang w:eastAsia="en-GB"/>
              </w:rPr>
              <w:t>£</w:t>
            </w:r>
          </w:p>
        </w:tc>
        <w:tc>
          <w:tcPr>
            <w:tcW w:w="1286" w:type="dxa"/>
            <w:tcBorders>
              <w:top w:val="nil"/>
              <w:left w:val="nil"/>
              <w:bottom w:val="single" w:sz="8" w:space="0" w:color="auto"/>
              <w:right w:val="single" w:sz="8" w:space="0" w:color="auto"/>
            </w:tcBorders>
            <w:shd w:val="clear" w:color="auto" w:fill="auto"/>
            <w:vAlign w:val="center"/>
            <w:hideMark/>
          </w:tcPr>
          <w:p w14:paraId="26881A40" w14:textId="77777777" w:rsidR="0025472B" w:rsidRPr="00CD0ACD" w:rsidRDefault="0025472B" w:rsidP="0025472B">
            <w:pPr>
              <w:rPr>
                <w:rFonts w:cs="Arial"/>
                <w:b/>
                <w:bCs/>
                <w:color w:val="000000"/>
                <w:sz w:val="20"/>
                <w:lang w:eastAsia="en-GB"/>
              </w:rPr>
            </w:pPr>
            <w:r w:rsidRPr="00CD0ACD">
              <w:rPr>
                <w:rFonts w:cs="Arial"/>
                <w:b/>
                <w:bCs/>
                <w:color w:val="000000"/>
                <w:sz w:val="20"/>
                <w:lang w:eastAsia="en-GB"/>
              </w:rPr>
              <w:t xml:space="preserve">        £</w:t>
            </w:r>
          </w:p>
        </w:tc>
        <w:tc>
          <w:tcPr>
            <w:tcW w:w="1627" w:type="dxa"/>
            <w:tcBorders>
              <w:top w:val="nil"/>
              <w:left w:val="nil"/>
              <w:bottom w:val="single" w:sz="8" w:space="0" w:color="auto"/>
              <w:right w:val="single" w:sz="8" w:space="0" w:color="auto"/>
            </w:tcBorders>
            <w:shd w:val="clear" w:color="auto" w:fill="D9D9D9" w:themeFill="background1" w:themeFillShade="D9"/>
            <w:vAlign w:val="center"/>
            <w:hideMark/>
          </w:tcPr>
          <w:p w14:paraId="4E63D30E" w14:textId="77777777" w:rsidR="0025472B" w:rsidRPr="00E74396" w:rsidRDefault="0025472B" w:rsidP="0025472B">
            <w:pPr>
              <w:jc w:val="center"/>
              <w:rPr>
                <w:rFonts w:cs="Arial"/>
                <w:b/>
                <w:bCs/>
                <w:color w:val="000000"/>
                <w:sz w:val="20"/>
                <w:lang w:eastAsia="en-GB"/>
              </w:rPr>
            </w:pPr>
            <w:r w:rsidRPr="00E74396">
              <w:rPr>
                <w:rFonts w:cs="Arial"/>
                <w:b/>
                <w:bCs/>
                <w:color w:val="000000"/>
                <w:sz w:val="20"/>
                <w:lang w:eastAsia="en-GB"/>
              </w:rPr>
              <w:t>£</w:t>
            </w:r>
          </w:p>
        </w:tc>
        <w:tc>
          <w:tcPr>
            <w:tcW w:w="1440" w:type="dxa"/>
            <w:tcBorders>
              <w:top w:val="nil"/>
              <w:left w:val="nil"/>
              <w:bottom w:val="single" w:sz="8" w:space="0" w:color="auto"/>
              <w:right w:val="single" w:sz="8" w:space="0" w:color="auto"/>
            </w:tcBorders>
            <w:shd w:val="clear" w:color="auto" w:fill="auto"/>
            <w:vAlign w:val="center"/>
            <w:hideMark/>
          </w:tcPr>
          <w:p w14:paraId="66A496B3" w14:textId="77777777" w:rsidR="0025472B" w:rsidRPr="00CD0ACD" w:rsidRDefault="0025472B" w:rsidP="0025472B">
            <w:pPr>
              <w:rPr>
                <w:rFonts w:cs="Arial"/>
                <w:b/>
                <w:bCs/>
                <w:color w:val="000000"/>
                <w:sz w:val="20"/>
                <w:lang w:eastAsia="en-GB"/>
              </w:rPr>
            </w:pPr>
            <w:r w:rsidRPr="00CD0ACD">
              <w:rPr>
                <w:rFonts w:cs="Arial"/>
                <w:b/>
                <w:bCs/>
                <w:color w:val="000000"/>
                <w:sz w:val="20"/>
                <w:lang w:eastAsia="en-GB"/>
              </w:rPr>
              <w:t xml:space="preserve">          £</w:t>
            </w:r>
          </w:p>
        </w:tc>
      </w:tr>
      <w:tr w:rsidR="004515CE" w:rsidRPr="00CD0ACD" w14:paraId="60D1C506" w14:textId="77777777" w:rsidTr="003122E4">
        <w:trPr>
          <w:trHeight w:val="297"/>
        </w:trPr>
        <w:tc>
          <w:tcPr>
            <w:tcW w:w="2967" w:type="dxa"/>
            <w:tcBorders>
              <w:top w:val="nil"/>
              <w:left w:val="single" w:sz="8" w:space="0" w:color="auto"/>
              <w:bottom w:val="single" w:sz="8" w:space="0" w:color="auto"/>
              <w:right w:val="single" w:sz="8" w:space="0" w:color="auto"/>
            </w:tcBorders>
            <w:shd w:val="clear" w:color="000000" w:fill="F2F2F2"/>
            <w:vAlign w:val="center"/>
            <w:hideMark/>
          </w:tcPr>
          <w:p w14:paraId="65B497A8" w14:textId="681CEB87" w:rsidR="004515CE" w:rsidRPr="00A955D8" w:rsidRDefault="004515CE" w:rsidP="004515CE">
            <w:pPr>
              <w:rPr>
                <w:rFonts w:cs="Arial"/>
                <w:color w:val="000000"/>
                <w:sz w:val="20"/>
                <w:lang w:eastAsia="en-GB"/>
              </w:rPr>
            </w:pPr>
            <w:r w:rsidRPr="00A955D8">
              <w:rPr>
                <w:rFonts w:cs="Arial"/>
                <w:color w:val="000000"/>
                <w:sz w:val="20"/>
                <w:lang w:eastAsia="en-GB"/>
              </w:rPr>
              <w:t xml:space="preserve">Works </w:t>
            </w:r>
          </w:p>
        </w:tc>
        <w:tc>
          <w:tcPr>
            <w:tcW w:w="1276" w:type="dxa"/>
            <w:tcBorders>
              <w:top w:val="nil"/>
              <w:left w:val="nil"/>
              <w:bottom w:val="single" w:sz="8" w:space="0" w:color="auto"/>
              <w:right w:val="single" w:sz="8" w:space="0" w:color="auto"/>
            </w:tcBorders>
            <w:shd w:val="clear" w:color="auto" w:fill="auto"/>
            <w:vAlign w:val="center"/>
            <w:hideMark/>
          </w:tcPr>
          <w:p w14:paraId="5C2AEC82" w14:textId="505813AF" w:rsidR="004515CE" w:rsidRPr="00CD0ACD" w:rsidRDefault="004515CE" w:rsidP="004515CE">
            <w:pPr>
              <w:jc w:val="right"/>
              <w:rPr>
                <w:rFonts w:cs="Arial"/>
                <w:color w:val="000000"/>
                <w:sz w:val="20"/>
                <w:lang w:eastAsia="en-GB"/>
              </w:rPr>
            </w:pPr>
            <w:r>
              <w:rPr>
                <w:rFonts w:cs="Arial"/>
                <w:color w:val="000000"/>
                <w:sz w:val="20"/>
                <w:lang w:eastAsia="en-GB"/>
              </w:rPr>
              <w:t>798</w:t>
            </w:r>
            <w:r w:rsidRPr="00CD0ACD">
              <w:rPr>
                <w:rFonts w:cs="Arial"/>
                <w:color w:val="000000"/>
                <w:sz w:val="20"/>
                <w:lang w:eastAsia="en-GB"/>
              </w:rPr>
              <w:t>,000</w:t>
            </w:r>
          </w:p>
        </w:tc>
        <w:tc>
          <w:tcPr>
            <w:tcW w:w="1286" w:type="dxa"/>
            <w:tcBorders>
              <w:top w:val="nil"/>
              <w:left w:val="nil"/>
              <w:bottom w:val="single" w:sz="8" w:space="0" w:color="auto"/>
              <w:right w:val="single" w:sz="8" w:space="0" w:color="auto"/>
            </w:tcBorders>
            <w:shd w:val="clear" w:color="auto" w:fill="auto"/>
            <w:vAlign w:val="center"/>
            <w:hideMark/>
          </w:tcPr>
          <w:p w14:paraId="75C02751" w14:textId="752A5CFC" w:rsidR="004515CE" w:rsidRPr="00CD0ACD" w:rsidRDefault="004515CE" w:rsidP="004515CE">
            <w:pPr>
              <w:jc w:val="right"/>
              <w:rPr>
                <w:rFonts w:cs="Arial"/>
                <w:color w:val="000000"/>
                <w:sz w:val="20"/>
                <w:lang w:eastAsia="en-GB"/>
              </w:rPr>
            </w:pPr>
            <w:r>
              <w:rPr>
                <w:rFonts w:cs="Arial"/>
                <w:color w:val="000000"/>
                <w:sz w:val="20"/>
                <w:lang w:eastAsia="en-GB"/>
              </w:rPr>
              <w:t>1,050,00</w:t>
            </w:r>
            <w:r w:rsidRPr="00CD0ACD">
              <w:rPr>
                <w:rFonts w:cs="Arial"/>
                <w:color w:val="000000"/>
                <w:sz w:val="20"/>
                <w:lang w:eastAsia="en-GB"/>
              </w:rPr>
              <w:t>0</w:t>
            </w:r>
          </w:p>
        </w:tc>
        <w:tc>
          <w:tcPr>
            <w:tcW w:w="1627" w:type="dxa"/>
            <w:tcBorders>
              <w:top w:val="nil"/>
              <w:left w:val="nil"/>
              <w:bottom w:val="single" w:sz="8" w:space="0" w:color="auto"/>
              <w:right w:val="single" w:sz="8" w:space="0" w:color="auto"/>
            </w:tcBorders>
            <w:shd w:val="clear" w:color="auto" w:fill="D9D9D9" w:themeFill="background1" w:themeFillShade="D9"/>
            <w:vAlign w:val="center"/>
            <w:hideMark/>
          </w:tcPr>
          <w:p w14:paraId="67B14470" w14:textId="6E336510" w:rsidR="004515CE" w:rsidRPr="00A955D8" w:rsidRDefault="004515CE" w:rsidP="004515CE">
            <w:pPr>
              <w:jc w:val="right"/>
              <w:rPr>
                <w:rFonts w:cs="Arial"/>
                <w:b/>
                <w:bCs/>
                <w:color w:val="000000"/>
                <w:sz w:val="20"/>
                <w:lang w:eastAsia="en-GB"/>
              </w:rPr>
            </w:pPr>
            <w:r w:rsidRPr="00A955D8">
              <w:rPr>
                <w:rFonts w:cs="Arial"/>
                <w:b/>
                <w:bCs/>
                <w:color w:val="000000"/>
                <w:sz w:val="20"/>
                <w:lang w:eastAsia="en-GB"/>
              </w:rPr>
              <w:t>1,848,000</w:t>
            </w:r>
          </w:p>
        </w:tc>
        <w:tc>
          <w:tcPr>
            <w:tcW w:w="1440" w:type="dxa"/>
            <w:tcBorders>
              <w:top w:val="nil"/>
              <w:left w:val="nil"/>
              <w:bottom w:val="single" w:sz="8" w:space="0" w:color="auto"/>
              <w:right w:val="single" w:sz="8" w:space="0" w:color="auto"/>
            </w:tcBorders>
            <w:shd w:val="clear" w:color="auto" w:fill="auto"/>
            <w:vAlign w:val="center"/>
            <w:hideMark/>
          </w:tcPr>
          <w:p w14:paraId="169B59D4" w14:textId="2079B54A" w:rsidR="004515CE" w:rsidRPr="00EB7DEB" w:rsidRDefault="004515CE" w:rsidP="004515CE">
            <w:pPr>
              <w:jc w:val="right"/>
              <w:rPr>
                <w:rFonts w:cs="Arial"/>
                <w:color w:val="000000"/>
                <w:sz w:val="20"/>
                <w:lang w:eastAsia="en-GB"/>
              </w:rPr>
            </w:pPr>
            <w:r>
              <w:rPr>
                <w:rFonts w:cs="Arial"/>
                <w:color w:val="000000"/>
                <w:sz w:val="20"/>
                <w:lang w:eastAsia="en-GB"/>
              </w:rPr>
              <w:t>1,050,00</w:t>
            </w:r>
            <w:r w:rsidRPr="00CD0ACD">
              <w:rPr>
                <w:rFonts w:cs="Arial"/>
                <w:color w:val="000000"/>
                <w:sz w:val="20"/>
                <w:lang w:eastAsia="en-GB"/>
              </w:rPr>
              <w:t>0</w:t>
            </w:r>
          </w:p>
        </w:tc>
      </w:tr>
      <w:tr w:rsidR="004515CE" w:rsidRPr="00CD0ACD" w14:paraId="6D9967D6" w14:textId="77777777" w:rsidTr="003122E4">
        <w:trPr>
          <w:trHeight w:val="292"/>
        </w:trPr>
        <w:tc>
          <w:tcPr>
            <w:tcW w:w="2967" w:type="dxa"/>
            <w:tcBorders>
              <w:top w:val="nil"/>
              <w:left w:val="single" w:sz="8" w:space="0" w:color="auto"/>
              <w:bottom w:val="single" w:sz="8" w:space="0" w:color="auto"/>
              <w:right w:val="single" w:sz="8" w:space="0" w:color="auto"/>
            </w:tcBorders>
            <w:shd w:val="clear" w:color="000000" w:fill="F2F2F2"/>
            <w:vAlign w:val="center"/>
            <w:hideMark/>
          </w:tcPr>
          <w:p w14:paraId="6A805B0F" w14:textId="77777777" w:rsidR="004515CE" w:rsidRPr="00A955D8" w:rsidRDefault="004515CE" w:rsidP="004515CE">
            <w:pPr>
              <w:rPr>
                <w:rFonts w:cs="Arial"/>
                <w:color w:val="000000"/>
                <w:sz w:val="20"/>
                <w:lang w:eastAsia="en-GB"/>
              </w:rPr>
            </w:pPr>
            <w:r>
              <w:rPr>
                <w:rFonts w:cs="Arial"/>
                <w:color w:val="000000"/>
                <w:sz w:val="20"/>
                <w:lang w:eastAsia="en-GB"/>
              </w:rPr>
              <w:t>Client Contingency 5%</w:t>
            </w:r>
          </w:p>
        </w:tc>
        <w:tc>
          <w:tcPr>
            <w:tcW w:w="1276" w:type="dxa"/>
            <w:tcBorders>
              <w:top w:val="nil"/>
              <w:left w:val="nil"/>
              <w:bottom w:val="single" w:sz="8" w:space="0" w:color="auto"/>
              <w:right w:val="single" w:sz="8" w:space="0" w:color="auto"/>
            </w:tcBorders>
            <w:shd w:val="clear" w:color="auto" w:fill="auto"/>
            <w:vAlign w:val="center"/>
          </w:tcPr>
          <w:p w14:paraId="59322D28" w14:textId="782CA2F5" w:rsidR="004515CE" w:rsidRPr="00CD0ACD" w:rsidRDefault="004515CE" w:rsidP="004515CE">
            <w:pPr>
              <w:jc w:val="right"/>
              <w:rPr>
                <w:rFonts w:cs="Arial"/>
                <w:color w:val="000000"/>
                <w:sz w:val="20"/>
                <w:lang w:eastAsia="en-GB"/>
              </w:rPr>
            </w:pPr>
            <w:r>
              <w:rPr>
                <w:rFonts w:cs="Arial"/>
                <w:color w:val="000000"/>
                <w:sz w:val="20"/>
                <w:lang w:eastAsia="en-GB"/>
              </w:rPr>
              <w:t>40,000</w:t>
            </w:r>
          </w:p>
        </w:tc>
        <w:tc>
          <w:tcPr>
            <w:tcW w:w="1286" w:type="dxa"/>
            <w:tcBorders>
              <w:top w:val="nil"/>
              <w:left w:val="nil"/>
              <w:bottom w:val="single" w:sz="8" w:space="0" w:color="auto"/>
              <w:right w:val="single" w:sz="8" w:space="0" w:color="auto"/>
            </w:tcBorders>
            <w:shd w:val="clear" w:color="auto" w:fill="auto"/>
            <w:vAlign w:val="center"/>
          </w:tcPr>
          <w:p w14:paraId="74FB4825" w14:textId="6374915B" w:rsidR="004515CE" w:rsidRPr="00CD0ACD" w:rsidRDefault="004515CE" w:rsidP="004515CE">
            <w:pPr>
              <w:jc w:val="right"/>
              <w:rPr>
                <w:rFonts w:cs="Arial"/>
                <w:color w:val="000000"/>
                <w:sz w:val="20"/>
                <w:lang w:eastAsia="en-GB"/>
              </w:rPr>
            </w:pPr>
            <w:r>
              <w:rPr>
                <w:rFonts w:cs="Arial"/>
                <w:color w:val="000000"/>
                <w:sz w:val="20"/>
                <w:lang w:eastAsia="en-GB"/>
              </w:rPr>
              <w:t>52,500</w:t>
            </w:r>
          </w:p>
        </w:tc>
        <w:tc>
          <w:tcPr>
            <w:tcW w:w="1627" w:type="dxa"/>
            <w:tcBorders>
              <w:top w:val="nil"/>
              <w:left w:val="nil"/>
              <w:bottom w:val="single" w:sz="8" w:space="0" w:color="auto"/>
              <w:right w:val="single" w:sz="8" w:space="0" w:color="auto"/>
            </w:tcBorders>
            <w:shd w:val="clear" w:color="auto" w:fill="D9D9D9" w:themeFill="background1" w:themeFillShade="D9"/>
            <w:vAlign w:val="center"/>
          </w:tcPr>
          <w:p w14:paraId="670BB3DE" w14:textId="09F92FBF" w:rsidR="004515CE" w:rsidRPr="00A955D8" w:rsidRDefault="004515CE" w:rsidP="004515CE">
            <w:pPr>
              <w:jc w:val="right"/>
              <w:rPr>
                <w:rFonts w:cs="Arial"/>
                <w:b/>
                <w:bCs/>
                <w:color w:val="000000"/>
                <w:sz w:val="20"/>
                <w:lang w:eastAsia="en-GB"/>
              </w:rPr>
            </w:pPr>
            <w:r>
              <w:rPr>
                <w:rFonts w:cs="Arial"/>
                <w:b/>
                <w:bCs/>
                <w:color w:val="000000"/>
                <w:sz w:val="20"/>
                <w:lang w:eastAsia="en-GB"/>
              </w:rPr>
              <w:t>92,500</w:t>
            </w:r>
          </w:p>
        </w:tc>
        <w:tc>
          <w:tcPr>
            <w:tcW w:w="1440" w:type="dxa"/>
            <w:tcBorders>
              <w:top w:val="nil"/>
              <w:left w:val="nil"/>
              <w:bottom w:val="single" w:sz="8" w:space="0" w:color="auto"/>
              <w:right w:val="single" w:sz="8" w:space="0" w:color="auto"/>
            </w:tcBorders>
            <w:shd w:val="clear" w:color="auto" w:fill="auto"/>
            <w:vAlign w:val="center"/>
          </w:tcPr>
          <w:p w14:paraId="47003260" w14:textId="37A96424" w:rsidR="004515CE" w:rsidRPr="00EB7DEB" w:rsidRDefault="004515CE" w:rsidP="004515CE">
            <w:pPr>
              <w:jc w:val="right"/>
              <w:rPr>
                <w:rFonts w:cs="Arial"/>
                <w:color w:val="000000"/>
                <w:sz w:val="20"/>
                <w:lang w:eastAsia="en-GB"/>
              </w:rPr>
            </w:pPr>
            <w:r>
              <w:rPr>
                <w:rFonts w:cs="Arial"/>
                <w:color w:val="000000"/>
                <w:sz w:val="20"/>
                <w:lang w:eastAsia="en-GB"/>
              </w:rPr>
              <w:t>52,500</w:t>
            </w:r>
          </w:p>
        </w:tc>
      </w:tr>
      <w:tr w:rsidR="004515CE" w:rsidRPr="00CD0ACD" w14:paraId="712DD9F3" w14:textId="77777777" w:rsidTr="003122E4">
        <w:trPr>
          <w:trHeight w:val="268"/>
        </w:trPr>
        <w:tc>
          <w:tcPr>
            <w:tcW w:w="2967" w:type="dxa"/>
            <w:tcBorders>
              <w:top w:val="nil"/>
              <w:left w:val="single" w:sz="8" w:space="0" w:color="auto"/>
              <w:bottom w:val="single" w:sz="8" w:space="0" w:color="auto"/>
              <w:right w:val="single" w:sz="8" w:space="0" w:color="auto"/>
            </w:tcBorders>
            <w:shd w:val="clear" w:color="000000" w:fill="F2F2F2"/>
            <w:vAlign w:val="center"/>
          </w:tcPr>
          <w:p w14:paraId="31316A37" w14:textId="77777777" w:rsidR="004515CE" w:rsidRPr="00D3755B" w:rsidRDefault="004515CE" w:rsidP="004515CE">
            <w:pPr>
              <w:rPr>
                <w:rFonts w:cs="Arial"/>
                <w:color w:val="000000"/>
                <w:sz w:val="20"/>
                <w:lang w:eastAsia="en-GB"/>
              </w:rPr>
            </w:pPr>
            <w:r>
              <w:rPr>
                <w:rFonts w:cs="Arial"/>
                <w:color w:val="000000"/>
                <w:sz w:val="20"/>
                <w:lang w:eastAsia="en-GB"/>
              </w:rPr>
              <w:t>Asbestos Surveys &amp; Removals</w:t>
            </w:r>
          </w:p>
        </w:tc>
        <w:tc>
          <w:tcPr>
            <w:tcW w:w="1276" w:type="dxa"/>
            <w:tcBorders>
              <w:top w:val="nil"/>
              <w:left w:val="nil"/>
              <w:bottom w:val="single" w:sz="8" w:space="0" w:color="auto"/>
              <w:right w:val="single" w:sz="8" w:space="0" w:color="auto"/>
            </w:tcBorders>
            <w:shd w:val="clear" w:color="auto" w:fill="auto"/>
            <w:vAlign w:val="center"/>
          </w:tcPr>
          <w:p w14:paraId="4FC481FE" w14:textId="787383EE" w:rsidR="004515CE" w:rsidRPr="00CD0ACD" w:rsidRDefault="004515CE" w:rsidP="004515CE">
            <w:pPr>
              <w:jc w:val="right"/>
              <w:rPr>
                <w:rFonts w:cs="Arial"/>
                <w:color w:val="000000"/>
                <w:sz w:val="20"/>
                <w:lang w:eastAsia="en-GB"/>
              </w:rPr>
            </w:pPr>
            <w:r>
              <w:rPr>
                <w:rFonts w:cs="Arial"/>
                <w:color w:val="000000"/>
                <w:sz w:val="20"/>
                <w:lang w:eastAsia="en-GB"/>
              </w:rPr>
              <w:t>30,000</w:t>
            </w:r>
          </w:p>
        </w:tc>
        <w:tc>
          <w:tcPr>
            <w:tcW w:w="1286" w:type="dxa"/>
            <w:tcBorders>
              <w:top w:val="nil"/>
              <w:left w:val="nil"/>
              <w:bottom w:val="single" w:sz="8" w:space="0" w:color="auto"/>
              <w:right w:val="single" w:sz="8" w:space="0" w:color="auto"/>
            </w:tcBorders>
            <w:shd w:val="clear" w:color="auto" w:fill="auto"/>
            <w:vAlign w:val="center"/>
          </w:tcPr>
          <w:p w14:paraId="40BBC816" w14:textId="02992CEA" w:rsidR="004515CE" w:rsidRPr="00CD0ACD" w:rsidRDefault="004515CE" w:rsidP="004515CE">
            <w:pPr>
              <w:jc w:val="right"/>
              <w:rPr>
                <w:rFonts w:cs="Arial"/>
                <w:color w:val="000000"/>
                <w:sz w:val="20"/>
                <w:lang w:eastAsia="en-GB"/>
              </w:rPr>
            </w:pPr>
            <w:r>
              <w:rPr>
                <w:rFonts w:cs="Arial"/>
                <w:color w:val="000000"/>
                <w:sz w:val="20"/>
                <w:lang w:eastAsia="en-GB"/>
              </w:rPr>
              <w:t>40,000</w:t>
            </w:r>
          </w:p>
        </w:tc>
        <w:tc>
          <w:tcPr>
            <w:tcW w:w="1627" w:type="dxa"/>
            <w:tcBorders>
              <w:top w:val="nil"/>
              <w:left w:val="nil"/>
              <w:bottom w:val="single" w:sz="8" w:space="0" w:color="auto"/>
              <w:right w:val="single" w:sz="8" w:space="0" w:color="auto"/>
            </w:tcBorders>
            <w:shd w:val="clear" w:color="auto" w:fill="D9D9D9" w:themeFill="background1" w:themeFillShade="D9"/>
            <w:vAlign w:val="center"/>
          </w:tcPr>
          <w:p w14:paraId="7EF7D386" w14:textId="495CAC67" w:rsidR="004515CE" w:rsidRPr="00D3755B" w:rsidRDefault="004515CE" w:rsidP="004515CE">
            <w:pPr>
              <w:jc w:val="right"/>
              <w:rPr>
                <w:rFonts w:cs="Arial"/>
                <w:b/>
                <w:bCs/>
                <w:color w:val="000000"/>
                <w:sz w:val="20"/>
                <w:lang w:eastAsia="en-GB"/>
              </w:rPr>
            </w:pPr>
            <w:r>
              <w:rPr>
                <w:rFonts w:cs="Arial"/>
                <w:b/>
                <w:bCs/>
                <w:color w:val="000000"/>
                <w:sz w:val="20"/>
                <w:lang w:eastAsia="en-GB"/>
              </w:rPr>
              <w:t>70,000</w:t>
            </w:r>
          </w:p>
        </w:tc>
        <w:tc>
          <w:tcPr>
            <w:tcW w:w="1440" w:type="dxa"/>
            <w:tcBorders>
              <w:top w:val="nil"/>
              <w:left w:val="nil"/>
              <w:bottom w:val="single" w:sz="8" w:space="0" w:color="auto"/>
              <w:right w:val="single" w:sz="8" w:space="0" w:color="auto"/>
            </w:tcBorders>
            <w:shd w:val="clear" w:color="auto" w:fill="auto"/>
            <w:vAlign w:val="center"/>
          </w:tcPr>
          <w:p w14:paraId="047AAC3A" w14:textId="034EC962" w:rsidR="004515CE" w:rsidRPr="00EB7DEB" w:rsidRDefault="004515CE" w:rsidP="004515CE">
            <w:pPr>
              <w:jc w:val="right"/>
              <w:rPr>
                <w:rFonts w:cs="Arial"/>
                <w:color w:val="000000"/>
                <w:sz w:val="20"/>
                <w:lang w:eastAsia="en-GB"/>
              </w:rPr>
            </w:pPr>
            <w:r>
              <w:rPr>
                <w:rFonts w:cs="Arial"/>
                <w:color w:val="000000"/>
                <w:sz w:val="20"/>
                <w:lang w:eastAsia="en-GB"/>
              </w:rPr>
              <w:t>40,000</w:t>
            </w:r>
          </w:p>
        </w:tc>
      </w:tr>
      <w:tr w:rsidR="004515CE" w:rsidRPr="00CD0ACD" w14:paraId="53282AD8" w14:textId="77777777" w:rsidTr="003122E4">
        <w:trPr>
          <w:trHeight w:val="272"/>
        </w:trPr>
        <w:tc>
          <w:tcPr>
            <w:tcW w:w="2967" w:type="dxa"/>
            <w:tcBorders>
              <w:top w:val="nil"/>
              <w:left w:val="single" w:sz="8" w:space="0" w:color="auto"/>
              <w:bottom w:val="single" w:sz="8" w:space="0" w:color="auto"/>
              <w:right w:val="single" w:sz="8" w:space="0" w:color="auto"/>
            </w:tcBorders>
            <w:shd w:val="clear" w:color="000000" w:fill="F2F2F2"/>
            <w:vAlign w:val="center"/>
          </w:tcPr>
          <w:p w14:paraId="070F37EA" w14:textId="77777777" w:rsidR="004515CE" w:rsidRPr="00D3755B" w:rsidRDefault="004515CE" w:rsidP="004515CE">
            <w:pPr>
              <w:rPr>
                <w:rFonts w:cs="Arial"/>
                <w:color w:val="000000"/>
                <w:sz w:val="20"/>
                <w:lang w:eastAsia="en-GB"/>
              </w:rPr>
            </w:pPr>
            <w:r>
              <w:rPr>
                <w:rFonts w:cs="Arial"/>
                <w:color w:val="000000"/>
                <w:sz w:val="20"/>
                <w:lang w:eastAsia="en-GB"/>
              </w:rPr>
              <w:t>Staffing</w:t>
            </w:r>
          </w:p>
        </w:tc>
        <w:tc>
          <w:tcPr>
            <w:tcW w:w="1276" w:type="dxa"/>
            <w:tcBorders>
              <w:top w:val="nil"/>
              <w:left w:val="nil"/>
              <w:bottom w:val="single" w:sz="8" w:space="0" w:color="auto"/>
              <w:right w:val="single" w:sz="8" w:space="0" w:color="auto"/>
            </w:tcBorders>
            <w:shd w:val="clear" w:color="auto" w:fill="auto"/>
            <w:vAlign w:val="center"/>
          </w:tcPr>
          <w:p w14:paraId="6DE0D091" w14:textId="0090768B" w:rsidR="004515CE" w:rsidRPr="00CD0ACD" w:rsidRDefault="004515CE" w:rsidP="004515CE">
            <w:pPr>
              <w:jc w:val="right"/>
              <w:rPr>
                <w:rFonts w:cs="Arial"/>
                <w:color w:val="000000"/>
                <w:sz w:val="20"/>
                <w:lang w:eastAsia="en-GB"/>
              </w:rPr>
            </w:pPr>
            <w:r>
              <w:rPr>
                <w:rFonts w:cs="Arial"/>
                <w:color w:val="000000"/>
                <w:sz w:val="20"/>
                <w:lang w:eastAsia="en-GB"/>
              </w:rPr>
              <w:t>50,000</w:t>
            </w:r>
          </w:p>
        </w:tc>
        <w:tc>
          <w:tcPr>
            <w:tcW w:w="1286" w:type="dxa"/>
            <w:tcBorders>
              <w:top w:val="nil"/>
              <w:left w:val="nil"/>
              <w:bottom w:val="single" w:sz="8" w:space="0" w:color="auto"/>
              <w:right w:val="single" w:sz="8" w:space="0" w:color="auto"/>
            </w:tcBorders>
            <w:shd w:val="clear" w:color="auto" w:fill="auto"/>
            <w:vAlign w:val="center"/>
          </w:tcPr>
          <w:p w14:paraId="64AE2C3B" w14:textId="41205FFB" w:rsidR="004515CE" w:rsidRPr="00CD0ACD" w:rsidRDefault="004515CE" w:rsidP="004515CE">
            <w:pPr>
              <w:jc w:val="right"/>
              <w:rPr>
                <w:rFonts w:cs="Arial"/>
                <w:color w:val="000000"/>
                <w:sz w:val="20"/>
                <w:lang w:eastAsia="en-GB"/>
              </w:rPr>
            </w:pPr>
            <w:r>
              <w:rPr>
                <w:rFonts w:cs="Arial"/>
                <w:color w:val="000000"/>
                <w:sz w:val="20"/>
                <w:lang w:eastAsia="en-GB"/>
              </w:rPr>
              <w:t>65,000</w:t>
            </w:r>
          </w:p>
        </w:tc>
        <w:tc>
          <w:tcPr>
            <w:tcW w:w="1627" w:type="dxa"/>
            <w:tcBorders>
              <w:top w:val="nil"/>
              <w:left w:val="nil"/>
              <w:bottom w:val="single" w:sz="8" w:space="0" w:color="auto"/>
              <w:right w:val="single" w:sz="8" w:space="0" w:color="auto"/>
            </w:tcBorders>
            <w:shd w:val="clear" w:color="auto" w:fill="D9D9D9" w:themeFill="background1" w:themeFillShade="D9"/>
            <w:vAlign w:val="center"/>
          </w:tcPr>
          <w:p w14:paraId="08E3C075" w14:textId="120EF47A" w:rsidR="004515CE" w:rsidRPr="00D3755B" w:rsidRDefault="004515CE" w:rsidP="004515CE">
            <w:pPr>
              <w:jc w:val="right"/>
              <w:rPr>
                <w:rFonts w:cs="Arial"/>
                <w:b/>
                <w:bCs/>
                <w:color w:val="000000"/>
                <w:sz w:val="20"/>
                <w:lang w:eastAsia="en-GB"/>
              </w:rPr>
            </w:pPr>
            <w:r>
              <w:rPr>
                <w:rFonts w:cs="Arial"/>
                <w:b/>
                <w:bCs/>
                <w:color w:val="000000"/>
                <w:sz w:val="20"/>
                <w:lang w:eastAsia="en-GB"/>
              </w:rPr>
              <w:t>115,000</w:t>
            </w:r>
          </w:p>
        </w:tc>
        <w:tc>
          <w:tcPr>
            <w:tcW w:w="1440" w:type="dxa"/>
            <w:tcBorders>
              <w:top w:val="nil"/>
              <w:left w:val="nil"/>
              <w:bottom w:val="single" w:sz="8" w:space="0" w:color="auto"/>
              <w:right w:val="single" w:sz="8" w:space="0" w:color="auto"/>
            </w:tcBorders>
            <w:shd w:val="clear" w:color="auto" w:fill="auto"/>
            <w:vAlign w:val="center"/>
          </w:tcPr>
          <w:p w14:paraId="245B06FF" w14:textId="62C599F3" w:rsidR="004515CE" w:rsidRPr="00EB7DEB" w:rsidRDefault="004515CE" w:rsidP="004515CE">
            <w:pPr>
              <w:jc w:val="right"/>
              <w:rPr>
                <w:rFonts w:cs="Arial"/>
                <w:color w:val="000000"/>
                <w:sz w:val="20"/>
                <w:lang w:eastAsia="en-GB"/>
              </w:rPr>
            </w:pPr>
            <w:r>
              <w:rPr>
                <w:rFonts w:cs="Arial"/>
                <w:color w:val="000000"/>
                <w:sz w:val="20"/>
                <w:lang w:eastAsia="en-GB"/>
              </w:rPr>
              <w:t>65,000</w:t>
            </w:r>
          </w:p>
        </w:tc>
      </w:tr>
      <w:tr w:rsidR="004515CE" w:rsidRPr="00CD0ACD" w14:paraId="10366D7A" w14:textId="77777777" w:rsidTr="003122E4">
        <w:trPr>
          <w:trHeight w:val="214"/>
        </w:trPr>
        <w:tc>
          <w:tcPr>
            <w:tcW w:w="2967" w:type="dxa"/>
            <w:tcBorders>
              <w:top w:val="nil"/>
              <w:left w:val="single" w:sz="8" w:space="0" w:color="auto"/>
              <w:bottom w:val="single" w:sz="8" w:space="0" w:color="auto"/>
              <w:right w:val="single" w:sz="8" w:space="0" w:color="auto"/>
            </w:tcBorders>
            <w:shd w:val="clear" w:color="000000" w:fill="F2F2F2"/>
            <w:vAlign w:val="center"/>
          </w:tcPr>
          <w:p w14:paraId="470081E0" w14:textId="77777777" w:rsidR="004515CE" w:rsidRPr="00D3755B" w:rsidRDefault="004515CE" w:rsidP="004515CE">
            <w:pPr>
              <w:rPr>
                <w:rFonts w:cs="Arial"/>
                <w:color w:val="000000"/>
                <w:sz w:val="20"/>
                <w:lang w:eastAsia="en-GB"/>
              </w:rPr>
            </w:pPr>
            <w:r>
              <w:rPr>
                <w:rFonts w:cs="Arial"/>
                <w:color w:val="000000"/>
                <w:sz w:val="20"/>
                <w:lang w:eastAsia="en-GB"/>
              </w:rPr>
              <w:t>CDM – Construction Design Management Fee</w:t>
            </w:r>
          </w:p>
        </w:tc>
        <w:tc>
          <w:tcPr>
            <w:tcW w:w="1276" w:type="dxa"/>
            <w:tcBorders>
              <w:top w:val="nil"/>
              <w:left w:val="nil"/>
              <w:bottom w:val="single" w:sz="8" w:space="0" w:color="auto"/>
              <w:right w:val="single" w:sz="8" w:space="0" w:color="auto"/>
            </w:tcBorders>
            <w:shd w:val="clear" w:color="auto" w:fill="auto"/>
            <w:vAlign w:val="center"/>
          </w:tcPr>
          <w:p w14:paraId="79834D4E" w14:textId="51AFF0DE" w:rsidR="004515CE" w:rsidRPr="00CD0ACD" w:rsidRDefault="004515CE" w:rsidP="004515CE">
            <w:pPr>
              <w:jc w:val="right"/>
              <w:rPr>
                <w:rFonts w:cs="Arial"/>
                <w:color w:val="000000"/>
                <w:sz w:val="20"/>
                <w:lang w:eastAsia="en-GB"/>
              </w:rPr>
            </w:pPr>
            <w:r>
              <w:rPr>
                <w:rFonts w:cs="Arial"/>
                <w:color w:val="000000"/>
                <w:sz w:val="20"/>
                <w:lang w:eastAsia="en-GB"/>
              </w:rPr>
              <w:t>3,000</w:t>
            </w:r>
          </w:p>
        </w:tc>
        <w:tc>
          <w:tcPr>
            <w:tcW w:w="1286" w:type="dxa"/>
            <w:tcBorders>
              <w:top w:val="nil"/>
              <w:left w:val="nil"/>
              <w:bottom w:val="single" w:sz="8" w:space="0" w:color="auto"/>
              <w:right w:val="single" w:sz="8" w:space="0" w:color="auto"/>
            </w:tcBorders>
            <w:shd w:val="clear" w:color="auto" w:fill="auto"/>
            <w:vAlign w:val="center"/>
          </w:tcPr>
          <w:p w14:paraId="3D39AEDC" w14:textId="65B85C92" w:rsidR="004515CE" w:rsidRPr="00CD0ACD" w:rsidRDefault="004515CE" w:rsidP="004515CE">
            <w:pPr>
              <w:jc w:val="right"/>
              <w:rPr>
                <w:rFonts w:cs="Arial"/>
                <w:color w:val="000000"/>
                <w:sz w:val="20"/>
                <w:lang w:eastAsia="en-GB"/>
              </w:rPr>
            </w:pPr>
            <w:r>
              <w:rPr>
                <w:rFonts w:cs="Arial"/>
                <w:color w:val="000000"/>
                <w:sz w:val="20"/>
                <w:lang w:eastAsia="en-GB"/>
              </w:rPr>
              <w:t>3,000</w:t>
            </w:r>
          </w:p>
        </w:tc>
        <w:tc>
          <w:tcPr>
            <w:tcW w:w="1627" w:type="dxa"/>
            <w:tcBorders>
              <w:top w:val="nil"/>
              <w:left w:val="nil"/>
              <w:bottom w:val="single" w:sz="8" w:space="0" w:color="auto"/>
              <w:right w:val="single" w:sz="8" w:space="0" w:color="auto"/>
            </w:tcBorders>
            <w:shd w:val="clear" w:color="auto" w:fill="D9D9D9" w:themeFill="background1" w:themeFillShade="D9"/>
            <w:vAlign w:val="center"/>
          </w:tcPr>
          <w:p w14:paraId="68F5FBC5" w14:textId="6CC44AC4" w:rsidR="004515CE" w:rsidRPr="00D3755B" w:rsidRDefault="004515CE" w:rsidP="004515CE">
            <w:pPr>
              <w:jc w:val="right"/>
              <w:rPr>
                <w:rFonts w:cs="Arial"/>
                <w:b/>
                <w:bCs/>
                <w:color w:val="000000"/>
                <w:sz w:val="20"/>
                <w:lang w:eastAsia="en-GB"/>
              </w:rPr>
            </w:pPr>
            <w:r>
              <w:rPr>
                <w:rFonts w:cs="Arial"/>
                <w:b/>
                <w:bCs/>
                <w:color w:val="000000"/>
                <w:sz w:val="20"/>
                <w:lang w:eastAsia="en-GB"/>
              </w:rPr>
              <w:t>6,000</w:t>
            </w:r>
          </w:p>
        </w:tc>
        <w:tc>
          <w:tcPr>
            <w:tcW w:w="1440" w:type="dxa"/>
            <w:tcBorders>
              <w:top w:val="nil"/>
              <w:left w:val="nil"/>
              <w:bottom w:val="single" w:sz="8" w:space="0" w:color="auto"/>
              <w:right w:val="single" w:sz="8" w:space="0" w:color="auto"/>
            </w:tcBorders>
            <w:shd w:val="clear" w:color="auto" w:fill="auto"/>
            <w:vAlign w:val="center"/>
          </w:tcPr>
          <w:p w14:paraId="3FC8AA34" w14:textId="77A1B6FD" w:rsidR="004515CE" w:rsidRPr="00EB7DEB" w:rsidRDefault="004515CE" w:rsidP="004515CE">
            <w:pPr>
              <w:jc w:val="right"/>
              <w:rPr>
                <w:rFonts w:cs="Arial"/>
                <w:color w:val="000000"/>
                <w:sz w:val="20"/>
                <w:lang w:eastAsia="en-GB"/>
              </w:rPr>
            </w:pPr>
            <w:r>
              <w:rPr>
                <w:rFonts w:cs="Arial"/>
                <w:color w:val="000000"/>
                <w:sz w:val="20"/>
                <w:lang w:eastAsia="en-GB"/>
              </w:rPr>
              <w:t>3,000</w:t>
            </w:r>
          </w:p>
        </w:tc>
      </w:tr>
      <w:tr w:rsidR="004515CE" w:rsidRPr="00CD0ACD" w14:paraId="1D0D8E69" w14:textId="77777777" w:rsidTr="003122E4">
        <w:trPr>
          <w:trHeight w:val="341"/>
        </w:trPr>
        <w:tc>
          <w:tcPr>
            <w:tcW w:w="2967" w:type="dxa"/>
            <w:tcBorders>
              <w:top w:val="nil"/>
              <w:left w:val="single" w:sz="8" w:space="0" w:color="auto"/>
              <w:bottom w:val="single" w:sz="8" w:space="0" w:color="auto"/>
              <w:right w:val="single" w:sz="8" w:space="0" w:color="auto"/>
            </w:tcBorders>
            <w:shd w:val="clear" w:color="000000" w:fill="F2F2F2"/>
            <w:vAlign w:val="center"/>
          </w:tcPr>
          <w:p w14:paraId="131299F8" w14:textId="77777777" w:rsidR="004515CE" w:rsidRPr="00D3755B" w:rsidRDefault="004515CE" w:rsidP="004515CE">
            <w:pPr>
              <w:rPr>
                <w:rFonts w:cs="Arial"/>
                <w:color w:val="000000"/>
                <w:sz w:val="20"/>
                <w:lang w:eastAsia="en-GB"/>
              </w:rPr>
            </w:pPr>
            <w:r>
              <w:rPr>
                <w:rFonts w:cs="Arial"/>
                <w:color w:val="000000"/>
                <w:sz w:val="20"/>
                <w:lang w:eastAsia="en-GB"/>
              </w:rPr>
              <w:t>Legal</w:t>
            </w:r>
          </w:p>
        </w:tc>
        <w:tc>
          <w:tcPr>
            <w:tcW w:w="1276" w:type="dxa"/>
            <w:tcBorders>
              <w:top w:val="nil"/>
              <w:left w:val="nil"/>
              <w:bottom w:val="single" w:sz="8" w:space="0" w:color="auto"/>
              <w:right w:val="single" w:sz="8" w:space="0" w:color="auto"/>
            </w:tcBorders>
            <w:shd w:val="clear" w:color="auto" w:fill="auto"/>
            <w:vAlign w:val="center"/>
          </w:tcPr>
          <w:p w14:paraId="4BA97EDB" w14:textId="11F5F708" w:rsidR="004515CE" w:rsidRPr="00CD0ACD" w:rsidRDefault="004515CE" w:rsidP="004515CE">
            <w:pPr>
              <w:jc w:val="right"/>
              <w:rPr>
                <w:rFonts w:cs="Arial"/>
                <w:color w:val="000000"/>
                <w:sz w:val="20"/>
                <w:lang w:eastAsia="en-GB"/>
              </w:rPr>
            </w:pPr>
            <w:r>
              <w:rPr>
                <w:rFonts w:cs="Arial"/>
                <w:color w:val="000000"/>
                <w:sz w:val="20"/>
                <w:lang w:eastAsia="en-GB"/>
              </w:rPr>
              <w:t>500</w:t>
            </w:r>
          </w:p>
        </w:tc>
        <w:tc>
          <w:tcPr>
            <w:tcW w:w="1286" w:type="dxa"/>
            <w:tcBorders>
              <w:top w:val="nil"/>
              <w:left w:val="nil"/>
              <w:bottom w:val="single" w:sz="8" w:space="0" w:color="auto"/>
              <w:right w:val="single" w:sz="8" w:space="0" w:color="auto"/>
            </w:tcBorders>
            <w:shd w:val="clear" w:color="auto" w:fill="auto"/>
            <w:vAlign w:val="center"/>
          </w:tcPr>
          <w:p w14:paraId="40748780" w14:textId="2412AFC5" w:rsidR="004515CE" w:rsidRPr="00CD0ACD" w:rsidRDefault="004515CE" w:rsidP="004515CE">
            <w:pPr>
              <w:jc w:val="right"/>
              <w:rPr>
                <w:rFonts w:cs="Arial"/>
                <w:color w:val="000000"/>
                <w:sz w:val="20"/>
                <w:lang w:eastAsia="en-GB"/>
              </w:rPr>
            </w:pPr>
            <w:r>
              <w:rPr>
                <w:rFonts w:cs="Arial"/>
                <w:color w:val="000000"/>
                <w:sz w:val="20"/>
                <w:lang w:eastAsia="en-GB"/>
              </w:rPr>
              <w:t>500</w:t>
            </w:r>
          </w:p>
        </w:tc>
        <w:tc>
          <w:tcPr>
            <w:tcW w:w="1627" w:type="dxa"/>
            <w:tcBorders>
              <w:top w:val="nil"/>
              <w:left w:val="nil"/>
              <w:bottom w:val="single" w:sz="8" w:space="0" w:color="auto"/>
              <w:right w:val="single" w:sz="8" w:space="0" w:color="auto"/>
            </w:tcBorders>
            <w:shd w:val="clear" w:color="auto" w:fill="D9D9D9" w:themeFill="background1" w:themeFillShade="D9"/>
            <w:vAlign w:val="center"/>
          </w:tcPr>
          <w:p w14:paraId="517F2193" w14:textId="7BEDE571" w:rsidR="004515CE" w:rsidRPr="00D3755B" w:rsidRDefault="004515CE" w:rsidP="004515CE">
            <w:pPr>
              <w:jc w:val="right"/>
              <w:rPr>
                <w:rFonts w:cs="Arial"/>
                <w:b/>
                <w:bCs/>
                <w:color w:val="000000"/>
                <w:sz w:val="20"/>
                <w:lang w:eastAsia="en-GB"/>
              </w:rPr>
            </w:pPr>
            <w:r>
              <w:rPr>
                <w:rFonts w:cs="Arial"/>
                <w:b/>
                <w:bCs/>
                <w:color w:val="000000"/>
                <w:sz w:val="20"/>
                <w:lang w:eastAsia="en-GB"/>
              </w:rPr>
              <w:t>1,000</w:t>
            </w:r>
          </w:p>
        </w:tc>
        <w:tc>
          <w:tcPr>
            <w:tcW w:w="1440" w:type="dxa"/>
            <w:tcBorders>
              <w:top w:val="nil"/>
              <w:left w:val="nil"/>
              <w:bottom w:val="single" w:sz="8" w:space="0" w:color="auto"/>
              <w:right w:val="single" w:sz="8" w:space="0" w:color="auto"/>
            </w:tcBorders>
            <w:shd w:val="clear" w:color="auto" w:fill="auto"/>
            <w:vAlign w:val="center"/>
          </w:tcPr>
          <w:p w14:paraId="1537E9B5" w14:textId="708807D3" w:rsidR="004515CE" w:rsidRPr="00EB7DEB" w:rsidRDefault="004515CE" w:rsidP="004515CE">
            <w:pPr>
              <w:jc w:val="right"/>
              <w:rPr>
                <w:rFonts w:cs="Arial"/>
                <w:color w:val="000000"/>
                <w:sz w:val="20"/>
                <w:lang w:eastAsia="en-GB"/>
              </w:rPr>
            </w:pPr>
            <w:r>
              <w:rPr>
                <w:rFonts w:cs="Arial"/>
                <w:color w:val="000000"/>
                <w:sz w:val="20"/>
                <w:lang w:eastAsia="en-GB"/>
              </w:rPr>
              <w:t>500</w:t>
            </w:r>
          </w:p>
        </w:tc>
      </w:tr>
      <w:tr w:rsidR="004515CE" w:rsidRPr="00CD0ACD" w14:paraId="3E78E3BA" w14:textId="77777777" w:rsidTr="003122E4">
        <w:trPr>
          <w:trHeight w:val="429"/>
        </w:trPr>
        <w:tc>
          <w:tcPr>
            <w:tcW w:w="2967" w:type="dxa"/>
            <w:tcBorders>
              <w:top w:val="nil"/>
              <w:left w:val="single" w:sz="8" w:space="0" w:color="auto"/>
              <w:bottom w:val="single" w:sz="12" w:space="0" w:color="auto"/>
              <w:right w:val="single" w:sz="8" w:space="0" w:color="auto"/>
            </w:tcBorders>
            <w:shd w:val="clear" w:color="000000" w:fill="F2F2F2"/>
            <w:vAlign w:val="center"/>
            <w:hideMark/>
          </w:tcPr>
          <w:p w14:paraId="2C1D1AD4" w14:textId="6EC2CF23" w:rsidR="004515CE" w:rsidRPr="00CD0ACD" w:rsidRDefault="004515CE" w:rsidP="004515CE">
            <w:pPr>
              <w:rPr>
                <w:rFonts w:cs="Arial"/>
                <w:color w:val="000000"/>
                <w:sz w:val="20"/>
                <w:lang w:eastAsia="en-GB"/>
              </w:rPr>
            </w:pPr>
            <w:r w:rsidRPr="00CD0ACD">
              <w:rPr>
                <w:rFonts w:cs="Arial"/>
                <w:color w:val="000000"/>
                <w:sz w:val="20"/>
                <w:lang w:eastAsia="en-GB"/>
              </w:rPr>
              <w:t> </w:t>
            </w:r>
            <w:r w:rsidRPr="00CD0ACD">
              <w:rPr>
                <w:rFonts w:cs="Arial"/>
                <w:b/>
                <w:bCs/>
                <w:color w:val="000000"/>
                <w:sz w:val="20"/>
                <w:lang w:eastAsia="en-GB"/>
              </w:rPr>
              <w:t>Total</w:t>
            </w:r>
            <w:r>
              <w:rPr>
                <w:rFonts w:cs="Arial"/>
                <w:b/>
                <w:bCs/>
                <w:color w:val="000000"/>
                <w:sz w:val="20"/>
                <w:lang w:eastAsia="en-GB"/>
              </w:rPr>
              <w:t xml:space="preserve"> Windows &amp; Doors</w:t>
            </w:r>
          </w:p>
        </w:tc>
        <w:tc>
          <w:tcPr>
            <w:tcW w:w="1276" w:type="dxa"/>
            <w:tcBorders>
              <w:top w:val="nil"/>
              <w:left w:val="nil"/>
              <w:bottom w:val="single" w:sz="12" w:space="0" w:color="auto"/>
              <w:right w:val="single" w:sz="8" w:space="0" w:color="FFC000"/>
            </w:tcBorders>
            <w:shd w:val="clear" w:color="000000" w:fill="E5DFEC"/>
            <w:vAlign w:val="center"/>
          </w:tcPr>
          <w:p w14:paraId="739AF1D5" w14:textId="2DA11986" w:rsidR="004515CE" w:rsidRPr="00CD0ACD" w:rsidRDefault="004515CE" w:rsidP="004515CE">
            <w:pPr>
              <w:jc w:val="right"/>
              <w:rPr>
                <w:rFonts w:cs="Arial"/>
                <w:b/>
                <w:bCs/>
                <w:color w:val="000000"/>
                <w:sz w:val="20"/>
                <w:lang w:eastAsia="en-GB"/>
              </w:rPr>
            </w:pPr>
            <w:r>
              <w:rPr>
                <w:rFonts w:cs="Arial"/>
                <w:b/>
                <w:bCs/>
                <w:color w:val="000000"/>
                <w:sz w:val="20"/>
                <w:lang w:eastAsia="en-GB"/>
              </w:rPr>
              <w:t>921,500</w:t>
            </w:r>
          </w:p>
        </w:tc>
        <w:tc>
          <w:tcPr>
            <w:tcW w:w="1286" w:type="dxa"/>
            <w:tcBorders>
              <w:top w:val="nil"/>
              <w:left w:val="nil"/>
              <w:bottom w:val="single" w:sz="12" w:space="0" w:color="auto"/>
              <w:right w:val="single" w:sz="8" w:space="0" w:color="auto"/>
            </w:tcBorders>
            <w:shd w:val="clear" w:color="000000" w:fill="E5DFEC"/>
            <w:vAlign w:val="center"/>
          </w:tcPr>
          <w:p w14:paraId="1A3C68C6" w14:textId="185CE480" w:rsidR="004515CE" w:rsidRPr="00E863BD" w:rsidRDefault="004515CE" w:rsidP="004515CE">
            <w:pPr>
              <w:jc w:val="right"/>
              <w:rPr>
                <w:rFonts w:cs="Arial"/>
                <w:b/>
                <w:bCs/>
                <w:color w:val="000000"/>
                <w:sz w:val="20"/>
                <w:lang w:eastAsia="en-GB"/>
              </w:rPr>
            </w:pPr>
            <w:r w:rsidRPr="00A955D8">
              <w:rPr>
                <w:rFonts w:cs="Arial"/>
                <w:b/>
                <w:bCs/>
                <w:color w:val="000000"/>
                <w:sz w:val="20"/>
                <w:lang w:eastAsia="en-GB"/>
              </w:rPr>
              <w:t>1,211,000</w:t>
            </w:r>
          </w:p>
        </w:tc>
        <w:tc>
          <w:tcPr>
            <w:tcW w:w="1627" w:type="dxa"/>
            <w:tcBorders>
              <w:top w:val="nil"/>
              <w:left w:val="nil"/>
              <w:bottom w:val="single" w:sz="12" w:space="0" w:color="auto"/>
              <w:right w:val="single" w:sz="8" w:space="0" w:color="auto"/>
            </w:tcBorders>
            <w:shd w:val="clear" w:color="auto" w:fill="D9D9D9" w:themeFill="background1" w:themeFillShade="D9"/>
            <w:vAlign w:val="center"/>
          </w:tcPr>
          <w:p w14:paraId="1A8C3917" w14:textId="3EB6CC88" w:rsidR="004515CE" w:rsidRPr="00E863BD" w:rsidRDefault="004515CE" w:rsidP="004515CE">
            <w:pPr>
              <w:jc w:val="right"/>
              <w:rPr>
                <w:rFonts w:cs="Arial"/>
                <w:b/>
                <w:bCs/>
                <w:color w:val="000000"/>
                <w:sz w:val="20"/>
                <w:lang w:eastAsia="en-GB"/>
              </w:rPr>
            </w:pPr>
            <w:r w:rsidRPr="00E863BD">
              <w:rPr>
                <w:rFonts w:cs="Arial"/>
                <w:b/>
                <w:bCs/>
                <w:color w:val="000000"/>
                <w:sz w:val="20"/>
                <w:lang w:eastAsia="en-GB"/>
              </w:rPr>
              <w:t>2,132,500</w:t>
            </w:r>
          </w:p>
        </w:tc>
        <w:tc>
          <w:tcPr>
            <w:tcW w:w="1440" w:type="dxa"/>
            <w:tcBorders>
              <w:top w:val="nil"/>
              <w:left w:val="nil"/>
              <w:bottom w:val="single" w:sz="12" w:space="0" w:color="auto"/>
              <w:right w:val="single" w:sz="8" w:space="0" w:color="auto"/>
            </w:tcBorders>
            <w:shd w:val="clear" w:color="000000" w:fill="E5DFEC"/>
            <w:vAlign w:val="center"/>
          </w:tcPr>
          <w:p w14:paraId="1076F3EF" w14:textId="05D14292" w:rsidR="004515CE" w:rsidRPr="00CD0ACD" w:rsidRDefault="004515CE" w:rsidP="004515CE">
            <w:pPr>
              <w:jc w:val="right"/>
              <w:rPr>
                <w:rFonts w:cs="Arial"/>
                <w:b/>
                <w:bCs/>
                <w:color w:val="000000"/>
                <w:sz w:val="20"/>
                <w:lang w:eastAsia="en-GB"/>
              </w:rPr>
            </w:pPr>
            <w:r>
              <w:rPr>
                <w:rFonts w:cs="Arial"/>
                <w:b/>
                <w:bCs/>
                <w:color w:val="000000"/>
                <w:sz w:val="20"/>
                <w:lang w:eastAsia="en-GB"/>
              </w:rPr>
              <w:t>1,211,000</w:t>
            </w:r>
          </w:p>
        </w:tc>
      </w:tr>
      <w:tr w:rsidR="004515CE" w:rsidRPr="00CD0ACD" w14:paraId="17A4B2D3" w14:textId="77777777" w:rsidTr="009B1759">
        <w:trPr>
          <w:trHeight w:val="680"/>
        </w:trPr>
        <w:tc>
          <w:tcPr>
            <w:tcW w:w="2967" w:type="dxa"/>
            <w:tcBorders>
              <w:top w:val="single" w:sz="12" w:space="0" w:color="auto"/>
              <w:left w:val="single" w:sz="12" w:space="0" w:color="auto"/>
              <w:bottom w:val="single" w:sz="12" w:space="0" w:color="auto"/>
              <w:right w:val="single" w:sz="12" w:space="0" w:color="auto"/>
            </w:tcBorders>
            <w:shd w:val="clear" w:color="000000" w:fill="F2F2F2"/>
            <w:vAlign w:val="center"/>
          </w:tcPr>
          <w:p w14:paraId="3DD8C210" w14:textId="50607934" w:rsidR="004515CE" w:rsidRPr="009B1759" w:rsidRDefault="004515CE" w:rsidP="004515CE">
            <w:pPr>
              <w:rPr>
                <w:rFonts w:cs="Arial"/>
                <w:b/>
                <w:bCs/>
                <w:color w:val="000000"/>
                <w:sz w:val="22"/>
                <w:szCs w:val="22"/>
                <w:u w:val="single"/>
                <w:lang w:eastAsia="en-GB"/>
              </w:rPr>
            </w:pPr>
            <w:r w:rsidRPr="009B1759">
              <w:rPr>
                <w:rFonts w:cs="Arial"/>
                <w:b/>
                <w:bCs/>
                <w:color w:val="000000"/>
                <w:sz w:val="22"/>
                <w:szCs w:val="22"/>
                <w:u w:val="single"/>
                <w:lang w:eastAsia="en-GB"/>
              </w:rPr>
              <w:t xml:space="preserve">Total K&amp;B plus W&amp;D </w:t>
            </w:r>
          </w:p>
        </w:tc>
        <w:tc>
          <w:tcPr>
            <w:tcW w:w="1276" w:type="dxa"/>
            <w:tcBorders>
              <w:top w:val="single" w:sz="12" w:space="0" w:color="auto"/>
              <w:left w:val="single" w:sz="12" w:space="0" w:color="auto"/>
              <w:bottom w:val="single" w:sz="12" w:space="0" w:color="auto"/>
              <w:right w:val="single" w:sz="12" w:space="0" w:color="auto"/>
            </w:tcBorders>
            <w:shd w:val="clear" w:color="000000" w:fill="E5DFEC"/>
            <w:vAlign w:val="center"/>
          </w:tcPr>
          <w:p w14:paraId="3F99AB31" w14:textId="47F38141" w:rsidR="004515CE" w:rsidRPr="009B1759" w:rsidRDefault="004515CE" w:rsidP="004515CE">
            <w:pPr>
              <w:jc w:val="right"/>
              <w:rPr>
                <w:rFonts w:cs="Arial"/>
                <w:b/>
                <w:bCs/>
                <w:color w:val="000000"/>
                <w:sz w:val="22"/>
                <w:szCs w:val="22"/>
                <w:u w:val="single"/>
                <w:lang w:eastAsia="en-GB"/>
              </w:rPr>
            </w:pPr>
            <w:r>
              <w:rPr>
                <w:rFonts w:cs="Arial"/>
                <w:b/>
                <w:bCs/>
                <w:color w:val="000000"/>
                <w:sz w:val="20"/>
                <w:lang w:eastAsia="en-GB"/>
              </w:rPr>
              <w:t>1,956,000</w:t>
            </w:r>
          </w:p>
        </w:tc>
        <w:tc>
          <w:tcPr>
            <w:tcW w:w="1286" w:type="dxa"/>
            <w:tcBorders>
              <w:top w:val="single" w:sz="12" w:space="0" w:color="auto"/>
              <w:left w:val="single" w:sz="12" w:space="0" w:color="auto"/>
              <w:bottom w:val="single" w:sz="12" w:space="0" w:color="auto"/>
              <w:right w:val="single" w:sz="12" w:space="0" w:color="auto"/>
            </w:tcBorders>
            <w:shd w:val="clear" w:color="000000" w:fill="E5DFEC"/>
            <w:vAlign w:val="center"/>
          </w:tcPr>
          <w:p w14:paraId="0549464E" w14:textId="63B26684" w:rsidR="004515CE" w:rsidRPr="009B1759" w:rsidRDefault="004515CE" w:rsidP="004515CE">
            <w:pPr>
              <w:jc w:val="right"/>
              <w:rPr>
                <w:rFonts w:cs="Arial"/>
                <w:b/>
                <w:bCs/>
                <w:color w:val="000000"/>
                <w:sz w:val="22"/>
                <w:szCs w:val="22"/>
                <w:u w:val="single"/>
                <w:lang w:eastAsia="en-GB"/>
              </w:rPr>
            </w:pPr>
            <w:r>
              <w:rPr>
                <w:rFonts w:cs="Arial"/>
                <w:b/>
                <w:bCs/>
                <w:color w:val="000000"/>
                <w:sz w:val="20"/>
                <w:lang w:eastAsia="en-GB"/>
              </w:rPr>
              <w:t>3,186,500</w:t>
            </w:r>
          </w:p>
        </w:tc>
        <w:tc>
          <w:tcPr>
            <w:tcW w:w="1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1AC718" w14:textId="4E13AFDE" w:rsidR="004515CE" w:rsidRPr="009B1759" w:rsidRDefault="004515CE" w:rsidP="004515CE">
            <w:pPr>
              <w:jc w:val="right"/>
              <w:rPr>
                <w:rFonts w:cs="Arial"/>
                <w:b/>
                <w:bCs/>
                <w:color w:val="000000"/>
                <w:sz w:val="22"/>
                <w:szCs w:val="22"/>
                <w:u w:val="single"/>
                <w:lang w:eastAsia="en-GB"/>
              </w:rPr>
            </w:pPr>
            <w:r>
              <w:rPr>
                <w:rFonts w:cs="Arial"/>
                <w:b/>
                <w:bCs/>
                <w:color w:val="000000"/>
                <w:sz w:val="20"/>
                <w:lang w:eastAsia="en-GB"/>
              </w:rPr>
              <w:t>5,14</w:t>
            </w:r>
            <w:r w:rsidR="00521940">
              <w:rPr>
                <w:rFonts w:cs="Arial"/>
                <w:b/>
                <w:bCs/>
                <w:color w:val="000000"/>
                <w:sz w:val="20"/>
                <w:lang w:eastAsia="en-GB"/>
              </w:rPr>
              <w:t>2</w:t>
            </w:r>
            <w:r>
              <w:rPr>
                <w:rFonts w:cs="Arial"/>
                <w:b/>
                <w:bCs/>
                <w:color w:val="000000"/>
                <w:sz w:val="20"/>
                <w:lang w:eastAsia="en-GB"/>
              </w:rPr>
              <w:t>,500</w:t>
            </w:r>
          </w:p>
        </w:tc>
        <w:tc>
          <w:tcPr>
            <w:tcW w:w="1440" w:type="dxa"/>
            <w:tcBorders>
              <w:top w:val="single" w:sz="12" w:space="0" w:color="auto"/>
              <w:left w:val="single" w:sz="12" w:space="0" w:color="auto"/>
              <w:bottom w:val="single" w:sz="12" w:space="0" w:color="auto"/>
              <w:right w:val="single" w:sz="12" w:space="0" w:color="auto"/>
            </w:tcBorders>
            <w:shd w:val="clear" w:color="000000" w:fill="E5DFEC"/>
            <w:vAlign w:val="center"/>
          </w:tcPr>
          <w:p w14:paraId="0954DCBB" w14:textId="644EB049" w:rsidR="004515CE" w:rsidRPr="009B1759" w:rsidRDefault="004515CE" w:rsidP="004515CE">
            <w:pPr>
              <w:jc w:val="right"/>
              <w:rPr>
                <w:rFonts w:cs="Arial"/>
                <w:b/>
                <w:bCs/>
                <w:color w:val="000000"/>
                <w:sz w:val="22"/>
                <w:szCs w:val="22"/>
                <w:u w:val="single"/>
                <w:lang w:eastAsia="en-GB"/>
              </w:rPr>
            </w:pPr>
            <w:r>
              <w:rPr>
                <w:rFonts w:cs="Arial"/>
                <w:b/>
                <w:bCs/>
                <w:color w:val="000000"/>
                <w:sz w:val="20"/>
                <w:lang w:eastAsia="en-GB"/>
              </w:rPr>
              <w:t>3,186,500</w:t>
            </w:r>
          </w:p>
        </w:tc>
      </w:tr>
    </w:tbl>
    <w:p w14:paraId="6AA05DD9" w14:textId="69DAAE65" w:rsidR="008817C2" w:rsidRDefault="008267BD" w:rsidP="008267BD">
      <w:pPr>
        <w:spacing w:before="100" w:beforeAutospacing="1" w:after="100" w:afterAutospacing="1"/>
        <w:ind w:left="720" w:hanging="720"/>
      </w:pPr>
      <w:r>
        <w:rPr>
          <w:rFonts w:cs="Arial"/>
        </w:rPr>
        <w:t>9</w:t>
      </w:r>
      <w:r w:rsidR="00AF207A">
        <w:rPr>
          <w:rFonts w:cs="Arial"/>
        </w:rPr>
        <w:t>.4</w:t>
      </w:r>
      <w:r w:rsidR="00AF207A">
        <w:rPr>
          <w:rFonts w:cs="Arial"/>
        </w:rPr>
        <w:tab/>
        <w:t xml:space="preserve">There are no implication on the General fund </w:t>
      </w:r>
      <w:proofErr w:type="gramStart"/>
      <w:r w:rsidR="00AF207A">
        <w:rPr>
          <w:rFonts w:cs="Arial"/>
        </w:rPr>
        <w:t>as a result of</w:t>
      </w:r>
      <w:proofErr w:type="gramEnd"/>
      <w:r w:rsidR="00AF207A">
        <w:rPr>
          <w:rFonts w:cs="Arial"/>
        </w:rPr>
        <w:t xml:space="preserve"> these procurements.</w:t>
      </w:r>
    </w:p>
    <w:p w14:paraId="253D4040" w14:textId="00A51180" w:rsidR="008817C2" w:rsidRPr="00640845" w:rsidRDefault="00CC4AD4" w:rsidP="17B25831">
      <w:pPr>
        <w:jc w:val="both"/>
        <w:rPr>
          <w:b/>
          <w:bCs/>
          <w:sz w:val="28"/>
          <w:szCs w:val="28"/>
        </w:rPr>
      </w:pPr>
      <w:r>
        <w:rPr>
          <w:b/>
          <w:bCs/>
          <w:sz w:val="28"/>
          <w:szCs w:val="28"/>
        </w:rPr>
        <w:t>1</w:t>
      </w:r>
      <w:r w:rsidR="008267BD">
        <w:rPr>
          <w:b/>
          <w:bCs/>
          <w:sz w:val="28"/>
          <w:szCs w:val="28"/>
        </w:rPr>
        <w:t>0</w:t>
      </w:r>
      <w:r>
        <w:rPr>
          <w:b/>
          <w:bCs/>
          <w:sz w:val="28"/>
          <w:szCs w:val="28"/>
        </w:rPr>
        <w:t>.0</w:t>
      </w:r>
      <w:r w:rsidR="3951D2A0" w:rsidRPr="00640845">
        <w:rPr>
          <w:b/>
          <w:bCs/>
          <w:sz w:val="28"/>
          <w:szCs w:val="28"/>
        </w:rPr>
        <w:t xml:space="preserve"> </w:t>
      </w:r>
      <w:r w:rsidR="004334A8">
        <w:rPr>
          <w:b/>
          <w:bCs/>
          <w:sz w:val="28"/>
          <w:szCs w:val="28"/>
        </w:rPr>
        <w:tab/>
      </w:r>
      <w:r w:rsidR="3951D2A0" w:rsidRPr="00640845">
        <w:rPr>
          <w:b/>
          <w:bCs/>
          <w:sz w:val="28"/>
          <w:szCs w:val="28"/>
        </w:rPr>
        <w:t>Equalities implications / Public Sector Equality Duty</w:t>
      </w:r>
    </w:p>
    <w:p w14:paraId="39D698BD" w14:textId="77777777" w:rsidR="008817C2" w:rsidRDefault="008817C2" w:rsidP="17B25831">
      <w:pPr>
        <w:jc w:val="both"/>
      </w:pPr>
    </w:p>
    <w:p w14:paraId="78AE5B0E" w14:textId="3E1B0C97" w:rsidR="008817C2" w:rsidRDefault="00CC4AD4" w:rsidP="00F67033">
      <w:r>
        <w:t>1</w:t>
      </w:r>
      <w:r w:rsidR="008267BD">
        <w:t>0</w:t>
      </w:r>
      <w:r>
        <w:t>.1</w:t>
      </w:r>
      <w:r w:rsidR="3951D2A0">
        <w:t xml:space="preserve"> </w:t>
      </w:r>
      <w:r w:rsidR="004334A8">
        <w:tab/>
      </w:r>
      <w:r w:rsidR="3951D2A0">
        <w:t xml:space="preserve">The procurement exercise is designed to deliver existing policies and </w:t>
      </w:r>
      <w:r w:rsidR="004334A8">
        <w:tab/>
      </w:r>
      <w:r w:rsidR="3951D2A0">
        <w:t xml:space="preserve">strategies maintaining the current level of equality in service provision. </w:t>
      </w:r>
      <w:r w:rsidR="004334A8">
        <w:tab/>
      </w:r>
      <w:r w:rsidR="3951D2A0">
        <w:t xml:space="preserve">The contract specification will be very clear on the equalities related </w:t>
      </w:r>
      <w:r w:rsidR="004334A8">
        <w:tab/>
      </w:r>
      <w:r w:rsidR="3951D2A0">
        <w:t>duties on contractors, given the wide range of needs of our customers.</w:t>
      </w:r>
    </w:p>
    <w:p w14:paraId="53E82477" w14:textId="77777777" w:rsidR="008817C2" w:rsidRPr="00DC1C05" w:rsidRDefault="008817C2" w:rsidP="17B25831">
      <w:pPr>
        <w:jc w:val="both"/>
      </w:pPr>
    </w:p>
    <w:p w14:paraId="0BCBD727" w14:textId="6A397C98" w:rsidR="008817C2" w:rsidRDefault="00CC4AD4" w:rsidP="00F67033">
      <w:r>
        <w:t>1</w:t>
      </w:r>
      <w:r w:rsidR="008267BD">
        <w:t>0</w:t>
      </w:r>
      <w:r>
        <w:t>.2</w:t>
      </w:r>
      <w:r w:rsidR="3951D2A0" w:rsidRPr="17B25831">
        <w:rPr>
          <w:b/>
          <w:bCs/>
          <w:sz w:val="28"/>
          <w:szCs w:val="28"/>
        </w:rPr>
        <w:t xml:space="preserve"> </w:t>
      </w:r>
      <w:r w:rsidR="004334A8">
        <w:rPr>
          <w:b/>
          <w:bCs/>
          <w:sz w:val="28"/>
          <w:szCs w:val="28"/>
        </w:rPr>
        <w:tab/>
      </w:r>
      <w:r w:rsidR="3951D2A0">
        <w:t xml:space="preserve">An initial Equality Impact Assessment has been prepared for the </w:t>
      </w:r>
      <w:r w:rsidR="00804281">
        <w:tab/>
      </w:r>
      <w:r w:rsidR="3951D2A0">
        <w:t xml:space="preserve">delivery of the Home Improvement Agency. This identified no </w:t>
      </w:r>
      <w:r w:rsidR="00804281">
        <w:tab/>
      </w:r>
      <w:r w:rsidR="3951D2A0">
        <w:t xml:space="preserve">need for a full assessment at this stage because it did not identify any </w:t>
      </w:r>
      <w:r w:rsidR="00804281">
        <w:tab/>
      </w:r>
      <w:r w:rsidR="3951D2A0">
        <w:t xml:space="preserve">potential for unlawful conduct or disproportionate impact. All </w:t>
      </w:r>
      <w:r w:rsidR="00804281">
        <w:lastRenderedPageBreak/>
        <w:tab/>
      </w:r>
      <w:r w:rsidR="3951D2A0">
        <w:t xml:space="preserve">opportunities to address diversity and the individual needs of </w:t>
      </w:r>
      <w:r w:rsidR="00804281">
        <w:tab/>
      </w:r>
      <w:r w:rsidR="3951D2A0">
        <w:t xml:space="preserve">applicants be addressed through </w:t>
      </w:r>
      <w:r w:rsidR="004334A8">
        <w:tab/>
      </w:r>
      <w:r w:rsidR="3951D2A0">
        <w:t xml:space="preserve">the contract specification and ensure </w:t>
      </w:r>
      <w:r w:rsidR="00804281">
        <w:tab/>
      </w:r>
      <w:r w:rsidR="3951D2A0">
        <w:t xml:space="preserve">residents receive the same service </w:t>
      </w:r>
      <w:r w:rsidR="003122E4">
        <w:t>regardless but</w:t>
      </w:r>
      <w:r w:rsidR="3951D2A0">
        <w:t xml:space="preserve"> taking into </w:t>
      </w:r>
      <w:r w:rsidR="00804281">
        <w:tab/>
      </w:r>
      <w:r w:rsidR="3951D2A0">
        <w:t xml:space="preserve">account specific needs. We will address </w:t>
      </w:r>
      <w:r w:rsidR="004334A8">
        <w:tab/>
      </w:r>
      <w:r w:rsidR="3951D2A0">
        <w:t xml:space="preserve">these in our tendering </w:t>
      </w:r>
      <w:r w:rsidR="00804281">
        <w:tab/>
      </w:r>
      <w:r w:rsidR="3951D2A0">
        <w:t xml:space="preserve">documents and processes. The assessment will be updated as the </w:t>
      </w:r>
      <w:r w:rsidR="00804281">
        <w:tab/>
      </w:r>
      <w:r w:rsidR="3951D2A0">
        <w:t>project moves forward.</w:t>
      </w:r>
    </w:p>
    <w:p w14:paraId="361A8ADF" w14:textId="77777777" w:rsidR="008D4AAB" w:rsidRDefault="008D4AAB" w:rsidP="17B25831">
      <w:pPr>
        <w:jc w:val="both"/>
      </w:pPr>
    </w:p>
    <w:p w14:paraId="77D60FDF" w14:textId="1DBFDCAC" w:rsidR="002047A4" w:rsidRPr="00B473BC" w:rsidRDefault="00CC4AD4" w:rsidP="17B25831">
      <w:pPr>
        <w:jc w:val="both"/>
        <w:rPr>
          <w:b/>
          <w:bCs/>
          <w:sz w:val="28"/>
          <w:szCs w:val="28"/>
        </w:rPr>
      </w:pPr>
      <w:r>
        <w:rPr>
          <w:b/>
          <w:bCs/>
          <w:sz w:val="28"/>
          <w:szCs w:val="28"/>
        </w:rPr>
        <w:t>1</w:t>
      </w:r>
      <w:r w:rsidR="008267BD">
        <w:rPr>
          <w:b/>
          <w:bCs/>
          <w:sz w:val="28"/>
          <w:szCs w:val="28"/>
        </w:rPr>
        <w:t>1</w:t>
      </w:r>
      <w:r>
        <w:rPr>
          <w:b/>
          <w:bCs/>
          <w:sz w:val="28"/>
          <w:szCs w:val="28"/>
        </w:rPr>
        <w:t>.0</w:t>
      </w:r>
      <w:r>
        <w:rPr>
          <w:b/>
          <w:bCs/>
          <w:sz w:val="28"/>
          <w:szCs w:val="28"/>
        </w:rPr>
        <w:tab/>
      </w:r>
      <w:r w:rsidR="3951D2A0" w:rsidRPr="00B473BC">
        <w:rPr>
          <w:b/>
          <w:bCs/>
          <w:sz w:val="28"/>
          <w:szCs w:val="28"/>
        </w:rPr>
        <w:t>Council Priorities</w:t>
      </w:r>
    </w:p>
    <w:p w14:paraId="21F3F2B9" w14:textId="40691EBE" w:rsidR="002047A4" w:rsidRPr="00B473BC" w:rsidRDefault="002047A4" w:rsidP="00B473BC">
      <w:pPr>
        <w:pStyle w:val="ListParagraph"/>
        <w:numPr>
          <w:ilvl w:val="0"/>
          <w:numId w:val="59"/>
        </w:numPr>
        <w:spacing w:before="100" w:beforeAutospacing="1" w:after="100" w:afterAutospacing="1"/>
        <w:rPr>
          <w:b/>
          <w:bCs/>
        </w:rPr>
      </w:pPr>
      <w:r w:rsidRPr="00B473BC">
        <w:rPr>
          <w:b/>
          <w:bCs/>
        </w:rPr>
        <w:t xml:space="preserve">A council that </w:t>
      </w:r>
      <w:r w:rsidR="00F00299" w:rsidRPr="00B473BC">
        <w:rPr>
          <w:b/>
          <w:bCs/>
        </w:rPr>
        <w:t>P</w:t>
      </w:r>
      <w:r w:rsidRPr="00B473BC">
        <w:rPr>
          <w:b/>
          <w:bCs/>
        </w:rPr>
        <w:t xml:space="preserve">uts </w:t>
      </w:r>
      <w:r w:rsidR="00F00299" w:rsidRPr="00B473BC">
        <w:rPr>
          <w:b/>
          <w:bCs/>
        </w:rPr>
        <w:t>R</w:t>
      </w:r>
      <w:r w:rsidRPr="00B473BC">
        <w:rPr>
          <w:b/>
          <w:bCs/>
        </w:rPr>
        <w:t xml:space="preserve">esidents </w:t>
      </w:r>
      <w:r w:rsidR="00F00299" w:rsidRPr="00B473BC">
        <w:rPr>
          <w:b/>
          <w:bCs/>
        </w:rPr>
        <w:t>F</w:t>
      </w:r>
      <w:r w:rsidRPr="00B473BC">
        <w:rPr>
          <w:b/>
          <w:bCs/>
        </w:rPr>
        <w:t>irst</w:t>
      </w:r>
    </w:p>
    <w:p w14:paraId="26B36CCA" w14:textId="514A53E1" w:rsidR="002047A4" w:rsidRPr="00B473BC" w:rsidRDefault="002047A4" w:rsidP="00B473BC">
      <w:pPr>
        <w:pStyle w:val="ListParagraph"/>
        <w:numPr>
          <w:ilvl w:val="0"/>
          <w:numId w:val="59"/>
        </w:numPr>
        <w:spacing w:before="100" w:beforeAutospacing="1" w:after="100" w:afterAutospacing="1"/>
        <w:rPr>
          <w:b/>
          <w:bCs/>
        </w:rPr>
      </w:pPr>
      <w:r w:rsidRPr="00B473BC">
        <w:rPr>
          <w:b/>
          <w:bCs/>
        </w:rPr>
        <w:t xml:space="preserve">A </w:t>
      </w:r>
      <w:r w:rsidR="00295077" w:rsidRPr="00B473BC">
        <w:rPr>
          <w:b/>
          <w:bCs/>
        </w:rPr>
        <w:t>B</w:t>
      </w:r>
      <w:r w:rsidRPr="00B473BC">
        <w:rPr>
          <w:b/>
          <w:bCs/>
        </w:rPr>
        <w:t xml:space="preserve">orough that is </w:t>
      </w:r>
      <w:r w:rsidR="00F00299" w:rsidRPr="00B473BC">
        <w:rPr>
          <w:b/>
          <w:bCs/>
        </w:rPr>
        <w:t>C</w:t>
      </w:r>
      <w:r w:rsidRPr="00B473BC">
        <w:rPr>
          <w:b/>
          <w:bCs/>
        </w:rPr>
        <w:t xml:space="preserve">lean and </w:t>
      </w:r>
      <w:r w:rsidR="00F00299" w:rsidRPr="00B473BC">
        <w:rPr>
          <w:b/>
          <w:bCs/>
        </w:rPr>
        <w:t>S</w:t>
      </w:r>
      <w:r w:rsidRPr="00B473BC">
        <w:rPr>
          <w:b/>
          <w:bCs/>
        </w:rPr>
        <w:t>afe</w:t>
      </w:r>
    </w:p>
    <w:p w14:paraId="5229FF1D" w14:textId="1195D3BC" w:rsidR="008817C2" w:rsidRPr="00B473BC" w:rsidRDefault="002047A4" w:rsidP="00B473BC">
      <w:pPr>
        <w:pStyle w:val="ListParagraph"/>
        <w:numPr>
          <w:ilvl w:val="0"/>
          <w:numId w:val="59"/>
        </w:numPr>
        <w:spacing w:before="100" w:beforeAutospacing="1" w:after="100" w:afterAutospacing="1"/>
        <w:rPr>
          <w:b/>
          <w:bCs/>
        </w:rPr>
      </w:pPr>
      <w:r w:rsidRPr="00B473BC">
        <w:rPr>
          <w:b/>
          <w:bCs/>
        </w:rPr>
        <w:t xml:space="preserve">A place </w:t>
      </w:r>
      <w:r w:rsidR="006749DB" w:rsidRPr="00B473BC">
        <w:rPr>
          <w:b/>
          <w:bCs/>
        </w:rPr>
        <w:t>W</w:t>
      </w:r>
      <w:r w:rsidRPr="00B473BC">
        <w:rPr>
          <w:b/>
          <w:bCs/>
        </w:rPr>
        <w:t xml:space="preserve">here </w:t>
      </w:r>
      <w:r w:rsidR="006749DB" w:rsidRPr="00B473BC">
        <w:rPr>
          <w:b/>
          <w:bCs/>
        </w:rPr>
        <w:t>T</w:t>
      </w:r>
      <w:r w:rsidRPr="00B473BC">
        <w:rPr>
          <w:b/>
          <w:bCs/>
        </w:rPr>
        <w:t xml:space="preserve">hose in </w:t>
      </w:r>
      <w:r w:rsidR="006749DB" w:rsidRPr="00B473BC">
        <w:rPr>
          <w:b/>
          <w:bCs/>
        </w:rPr>
        <w:t>N</w:t>
      </w:r>
      <w:r w:rsidRPr="00B473BC">
        <w:rPr>
          <w:b/>
          <w:bCs/>
        </w:rPr>
        <w:t xml:space="preserve">eed are </w:t>
      </w:r>
      <w:r w:rsidR="006749DB" w:rsidRPr="00B473BC">
        <w:rPr>
          <w:b/>
          <w:bCs/>
        </w:rPr>
        <w:t>S</w:t>
      </w:r>
      <w:r w:rsidRPr="00B473BC">
        <w:rPr>
          <w:b/>
          <w:bCs/>
        </w:rPr>
        <w:t>upported</w:t>
      </w:r>
    </w:p>
    <w:p w14:paraId="172811AA" w14:textId="57E2E9FB" w:rsidR="008817C2" w:rsidRPr="00F576DB" w:rsidRDefault="00CC4AD4" w:rsidP="00FC2CFD">
      <w:pPr>
        <w:ind w:left="720" w:hanging="720"/>
        <w:rPr>
          <w:b/>
          <w:bCs/>
          <w:sz w:val="28"/>
          <w:szCs w:val="28"/>
        </w:rPr>
      </w:pPr>
      <w:r>
        <w:t>1</w:t>
      </w:r>
      <w:r w:rsidR="008267BD">
        <w:t>1</w:t>
      </w:r>
      <w:r>
        <w:t>.1</w:t>
      </w:r>
      <w:r w:rsidR="006C1BB1">
        <w:tab/>
      </w:r>
      <w:r w:rsidR="00EC6DAC">
        <w:t>We’ll be improving the homes of residents</w:t>
      </w:r>
      <w:r w:rsidR="00C21DD6">
        <w:t xml:space="preserve"> and achieving our decent homes standard</w:t>
      </w:r>
    </w:p>
    <w:p w14:paraId="773A720F" w14:textId="77777777" w:rsidR="008817C2" w:rsidRDefault="008817C2" w:rsidP="00640845">
      <w:pPr>
        <w:pStyle w:val="Heading2"/>
        <w:jc w:val="both"/>
        <w:rPr>
          <w:rFonts w:ascii="Arial" w:hAnsi="Arial"/>
          <w:sz w:val="28"/>
          <w:szCs w:val="28"/>
        </w:rPr>
      </w:pPr>
    </w:p>
    <w:p w14:paraId="72EAD30B" w14:textId="58B95E29" w:rsidR="00A53C3A" w:rsidRDefault="00CC4AD4" w:rsidP="00F67033">
      <w:r>
        <w:t>1</w:t>
      </w:r>
      <w:r w:rsidR="008267BD">
        <w:t>1</w:t>
      </w:r>
      <w:r>
        <w:t>.2</w:t>
      </w:r>
      <w:r w:rsidR="3951D2A0">
        <w:t xml:space="preserve"> </w:t>
      </w:r>
      <w:r w:rsidR="006C1BB1">
        <w:tab/>
      </w:r>
      <w:r w:rsidR="3951D2A0">
        <w:t xml:space="preserve">Specifications for all contracts will ensure that the successful contractor </w:t>
      </w:r>
      <w:r w:rsidR="006C1BB1">
        <w:tab/>
      </w:r>
      <w:r w:rsidR="3951D2A0">
        <w:t xml:space="preserve">is equipped to provide a high level of customer service to all our </w:t>
      </w:r>
      <w:r w:rsidR="006C1BB1">
        <w:tab/>
      </w:r>
      <w:r w:rsidR="3951D2A0">
        <w:t xml:space="preserve">residents. In addition, every effort will be made to ensure that local </w:t>
      </w:r>
      <w:r w:rsidR="006C1BB1">
        <w:tab/>
      </w:r>
      <w:r w:rsidR="3951D2A0">
        <w:t xml:space="preserve">businesses are encouraged to submit tenders and that added social </w:t>
      </w:r>
      <w:r w:rsidR="006C1BB1">
        <w:tab/>
      </w:r>
      <w:r w:rsidR="3951D2A0">
        <w:t>value to support communities will be a part of the evaluation process.</w:t>
      </w:r>
    </w:p>
    <w:p w14:paraId="21DDE784" w14:textId="77777777" w:rsidR="00A53C3A" w:rsidRDefault="00A53C3A" w:rsidP="00A53C3A">
      <w:pPr>
        <w:jc w:val="both"/>
      </w:pPr>
    </w:p>
    <w:p w14:paraId="30F3E291" w14:textId="6A3540A3" w:rsidR="00AE00B3" w:rsidRDefault="00CC4AD4" w:rsidP="00FC2CFD">
      <w:pPr>
        <w:ind w:left="720" w:hanging="720"/>
        <w:rPr>
          <w:szCs w:val="24"/>
        </w:rPr>
      </w:pPr>
      <w:r>
        <w:t>1</w:t>
      </w:r>
      <w:r w:rsidR="008267BD">
        <w:t>1</w:t>
      </w:r>
      <w:r>
        <w:t>.3</w:t>
      </w:r>
      <w:r w:rsidR="00AE00B3" w:rsidRPr="00AE00B3">
        <w:rPr>
          <w:szCs w:val="24"/>
        </w:rPr>
        <w:t xml:space="preserve"> </w:t>
      </w:r>
      <w:r w:rsidR="00A53C3A">
        <w:rPr>
          <w:szCs w:val="24"/>
        </w:rPr>
        <w:tab/>
      </w:r>
      <w:r w:rsidR="00CE7B62">
        <w:rPr>
          <w:szCs w:val="24"/>
        </w:rPr>
        <w:t>Increasing energy efficiencies with window &amp; door upgrades</w:t>
      </w:r>
      <w:r w:rsidR="00EC086E">
        <w:rPr>
          <w:szCs w:val="24"/>
        </w:rPr>
        <w:t>, carrying out EICRs</w:t>
      </w:r>
      <w:r w:rsidR="00563D02">
        <w:rPr>
          <w:szCs w:val="24"/>
        </w:rPr>
        <w:t xml:space="preserve"> to homes. Identif</w:t>
      </w:r>
      <w:r w:rsidR="009D61D6">
        <w:rPr>
          <w:szCs w:val="24"/>
        </w:rPr>
        <w:t xml:space="preserve">ying all vulnerable residents on the programme and putting resident’s needs first while undertaking the works. </w:t>
      </w:r>
      <w:r w:rsidR="00E01CCD">
        <w:rPr>
          <w:szCs w:val="24"/>
        </w:rPr>
        <w:t xml:space="preserve">Work in tandem with the Adaptations Team by making any necessary changes </w:t>
      </w:r>
      <w:r w:rsidR="001363B3">
        <w:rPr>
          <w:szCs w:val="24"/>
        </w:rPr>
        <w:t xml:space="preserve">prior to </w:t>
      </w:r>
      <w:r w:rsidR="00E01CCD">
        <w:rPr>
          <w:szCs w:val="24"/>
        </w:rPr>
        <w:t>r</w:t>
      </w:r>
      <w:r w:rsidR="009D61D6">
        <w:rPr>
          <w:szCs w:val="24"/>
        </w:rPr>
        <w:t>eferring residents identified to need adaptations</w:t>
      </w:r>
      <w:r w:rsidR="00D47B74">
        <w:rPr>
          <w:szCs w:val="24"/>
        </w:rPr>
        <w:t>.</w:t>
      </w:r>
      <w:r w:rsidR="00AE00B3" w:rsidRPr="00165507">
        <w:rPr>
          <w:szCs w:val="24"/>
        </w:rPr>
        <w:t xml:space="preserve"> </w:t>
      </w:r>
    </w:p>
    <w:p w14:paraId="5514D939" w14:textId="4F6D331F" w:rsidR="00333FAA" w:rsidRDefault="00333FAA" w:rsidP="000B7C66">
      <w:pPr>
        <w:pStyle w:val="Heading2"/>
        <w:spacing w:before="480" w:after="240"/>
      </w:pPr>
      <w:r>
        <w:t>Section 3 - Statutory Officer Clearance</w:t>
      </w:r>
    </w:p>
    <w:p w14:paraId="3B5D52F9" w14:textId="3DDEC25B" w:rsidR="00A66326" w:rsidRPr="00A66326" w:rsidRDefault="00A66326" w:rsidP="00A66326">
      <w:pPr>
        <w:rPr>
          <w:sz w:val="28"/>
        </w:rPr>
      </w:pPr>
      <w:r w:rsidRPr="00A66326">
        <w:rPr>
          <w:b/>
          <w:sz w:val="28"/>
        </w:rPr>
        <w:t xml:space="preserve">Statutory Officer: </w:t>
      </w:r>
      <w:r w:rsidR="00AC5EF5">
        <w:rPr>
          <w:b/>
          <w:sz w:val="28"/>
        </w:rPr>
        <w:t>Tasleem Kazmi</w:t>
      </w:r>
    </w:p>
    <w:p w14:paraId="06450070" w14:textId="712A7A93" w:rsidR="00A66326" w:rsidRPr="00A66326" w:rsidRDefault="00A66326" w:rsidP="00A66326">
      <w:r w:rsidRPr="00A66326">
        <w:t xml:space="preserve">Signed on </w:t>
      </w:r>
      <w:r w:rsidR="008267BD">
        <w:t>b</w:t>
      </w:r>
      <w:r w:rsidRPr="00A66326">
        <w:t>ehalf of</w:t>
      </w:r>
      <w:r w:rsidR="00E83645" w:rsidRPr="00A66326" w:rsidDel="00E83645">
        <w:t xml:space="preserve"> </w:t>
      </w:r>
      <w:r w:rsidR="00AC1E27">
        <w:t>t</w:t>
      </w:r>
      <w:r w:rsidRPr="00A66326">
        <w:t>he Chief Financial Officer</w:t>
      </w:r>
    </w:p>
    <w:p w14:paraId="555021EF" w14:textId="2DD69CAC" w:rsidR="00A66326" w:rsidRPr="00A66326" w:rsidRDefault="00A66326" w:rsidP="00A66326">
      <w:pPr>
        <w:spacing w:after="480"/>
        <w:rPr>
          <w:sz w:val="28"/>
        </w:rPr>
      </w:pPr>
      <w:r w:rsidRPr="00A66326">
        <w:rPr>
          <w:b/>
          <w:sz w:val="28"/>
        </w:rPr>
        <w:t xml:space="preserve">Date: </w:t>
      </w:r>
      <w:r w:rsidR="00E83645">
        <w:rPr>
          <w:b/>
          <w:sz w:val="28"/>
        </w:rPr>
        <w:t>09/05/2023</w:t>
      </w:r>
    </w:p>
    <w:p w14:paraId="7E329E85" w14:textId="5055C542" w:rsidR="00A66326" w:rsidRPr="00A66326" w:rsidRDefault="00A66326" w:rsidP="08588115">
      <w:pPr>
        <w:ind w:left="360" w:hanging="360"/>
        <w:jc w:val="both"/>
        <w:rPr>
          <w:rFonts w:cs="Arial"/>
        </w:rPr>
      </w:pPr>
      <w:r w:rsidRPr="08588115">
        <w:rPr>
          <w:b/>
          <w:sz w:val="28"/>
          <w:szCs w:val="28"/>
        </w:rPr>
        <w:t xml:space="preserve">Statutory Officer:  </w:t>
      </w:r>
      <w:r w:rsidR="00AC1E27">
        <w:rPr>
          <w:rFonts w:cs="Arial"/>
          <w:b/>
          <w:bCs/>
          <w:sz w:val="28"/>
          <w:szCs w:val="28"/>
        </w:rPr>
        <w:t>Sonia Kounasso</w:t>
      </w:r>
    </w:p>
    <w:p w14:paraId="76F84634" w14:textId="73CBF9EB" w:rsidR="00A66326" w:rsidRPr="00A66326" w:rsidRDefault="00A66326" w:rsidP="00A66326">
      <w:r w:rsidRPr="00A66326">
        <w:t>Signed on behalf of the Monitoring Officer</w:t>
      </w:r>
    </w:p>
    <w:p w14:paraId="1AC0D358" w14:textId="0BF811AC" w:rsidR="00A66326" w:rsidRPr="003313EA" w:rsidRDefault="00A66326" w:rsidP="00A66326">
      <w:pPr>
        <w:spacing w:after="480"/>
        <w:rPr>
          <w:sz w:val="28"/>
          <w:szCs w:val="28"/>
        </w:rPr>
      </w:pPr>
      <w:r w:rsidRPr="57BE12F0">
        <w:rPr>
          <w:b/>
          <w:sz w:val="28"/>
          <w:szCs w:val="28"/>
        </w:rPr>
        <w:t xml:space="preserve">Date:  </w:t>
      </w:r>
      <w:r w:rsidR="001847B6">
        <w:rPr>
          <w:b/>
          <w:sz w:val="28"/>
          <w:szCs w:val="28"/>
        </w:rPr>
        <w:t>05/05/2023</w:t>
      </w:r>
    </w:p>
    <w:p w14:paraId="31D8FA55" w14:textId="5C73B789" w:rsidR="00BF5AFA" w:rsidRPr="00A66326" w:rsidRDefault="00BF5AFA" w:rsidP="00BF5AFA">
      <w:pPr>
        <w:rPr>
          <w:sz w:val="28"/>
        </w:rPr>
      </w:pPr>
      <w:r>
        <w:rPr>
          <w:b/>
          <w:sz w:val="28"/>
        </w:rPr>
        <w:t>Chief</w:t>
      </w:r>
      <w:r w:rsidRPr="00A66326">
        <w:rPr>
          <w:b/>
          <w:sz w:val="28"/>
        </w:rPr>
        <w:t xml:space="preserve"> Officer:  </w:t>
      </w:r>
      <w:r w:rsidR="00AF4CFA">
        <w:rPr>
          <w:b/>
          <w:sz w:val="28"/>
        </w:rPr>
        <w:t>Dipti Patel</w:t>
      </w:r>
    </w:p>
    <w:p w14:paraId="6C086558" w14:textId="6DDEDC59" w:rsidR="00BF5AFA" w:rsidRPr="00A66326" w:rsidRDefault="00BF5AFA" w:rsidP="00BF5AFA">
      <w:r w:rsidRPr="00A66326">
        <w:t xml:space="preserve">Signed </w:t>
      </w:r>
      <w:r>
        <w:t>off by the Corporate Director</w:t>
      </w:r>
    </w:p>
    <w:p w14:paraId="5F67CDF0" w14:textId="0C98C5DA" w:rsidR="00BF5AFA" w:rsidRPr="00A66326" w:rsidRDefault="00BF5AFA" w:rsidP="00BF5AFA">
      <w:pPr>
        <w:spacing w:after="480"/>
        <w:rPr>
          <w:sz w:val="28"/>
        </w:rPr>
      </w:pPr>
      <w:r w:rsidRPr="00A66326">
        <w:rPr>
          <w:b/>
          <w:sz w:val="28"/>
        </w:rPr>
        <w:t xml:space="preserve">Date:  </w:t>
      </w:r>
      <w:r w:rsidR="009A725D">
        <w:rPr>
          <w:b/>
          <w:sz w:val="28"/>
        </w:rPr>
        <w:t>11/05/23</w:t>
      </w:r>
    </w:p>
    <w:p w14:paraId="2C546334" w14:textId="7FF5A57F" w:rsidR="00BF5AFA" w:rsidRPr="00A66326" w:rsidRDefault="00BF5AFA" w:rsidP="00BF5AFA">
      <w:pPr>
        <w:rPr>
          <w:sz w:val="28"/>
        </w:rPr>
      </w:pPr>
      <w:r>
        <w:rPr>
          <w:b/>
          <w:sz w:val="28"/>
        </w:rPr>
        <w:t>Procurement</w:t>
      </w:r>
      <w:r w:rsidR="006301C4">
        <w:rPr>
          <w:b/>
          <w:sz w:val="28"/>
        </w:rPr>
        <w:t xml:space="preserve"> Officer</w:t>
      </w:r>
      <w:r w:rsidRPr="00A66326">
        <w:rPr>
          <w:b/>
          <w:sz w:val="28"/>
        </w:rPr>
        <w:t xml:space="preserve">:  </w:t>
      </w:r>
      <w:r w:rsidR="006301C4">
        <w:rPr>
          <w:b/>
          <w:sz w:val="28"/>
        </w:rPr>
        <w:t>Daniel Rinn</w:t>
      </w:r>
    </w:p>
    <w:p w14:paraId="399669DE" w14:textId="05AD551D" w:rsidR="00BF5AFA" w:rsidRPr="00A66326" w:rsidRDefault="00BF5AFA" w:rsidP="00BF5AFA">
      <w:pPr>
        <w:rPr>
          <w:sz w:val="28"/>
        </w:rPr>
      </w:pPr>
      <w:r w:rsidRPr="00A66326">
        <w:t xml:space="preserve">Signed on behalf of the </w:t>
      </w:r>
      <w:r>
        <w:t>Head of Procurement</w:t>
      </w:r>
    </w:p>
    <w:p w14:paraId="5A683B65" w14:textId="6D958D36" w:rsidR="00BF5AFA" w:rsidRPr="003313EA" w:rsidRDefault="00BF5AFA" w:rsidP="00BF5AFA">
      <w:pPr>
        <w:spacing w:after="480"/>
        <w:rPr>
          <w:sz w:val="28"/>
          <w:szCs w:val="28"/>
        </w:rPr>
      </w:pPr>
      <w:r w:rsidRPr="78CB931A">
        <w:rPr>
          <w:b/>
          <w:bCs/>
          <w:sz w:val="28"/>
          <w:szCs w:val="28"/>
        </w:rPr>
        <w:t xml:space="preserve">Date:  </w:t>
      </w:r>
      <w:r w:rsidR="00056974">
        <w:rPr>
          <w:b/>
          <w:bCs/>
          <w:sz w:val="28"/>
          <w:szCs w:val="28"/>
        </w:rPr>
        <w:t>05/05/2023</w:t>
      </w:r>
    </w:p>
    <w:p w14:paraId="113297A5" w14:textId="670DEC18" w:rsidR="00BF5AFA" w:rsidRPr="004A7542" w:rsidRDefault="00BF5AFA" w:rsidP="00BF5AFA">
      <w:pPr>
        <w:rPr>
          <w:sz w:val="28"/>
        </w:rPr>
      </w:pPr>
      <w:r>
        <w:rPr>
          <w:b/>
          <w:sz w:val="28"/>
        </w:rPr>
        <w:lastRenderedPageBreak/>
        <w:t>Head of Interna</w:t>
      </w:r>
      <w:r w:rsidR="00651935">
        <w:rPr>
          <w:b/>
          <w:sz w:val="28"/>
        </w:rPr>
        <w:t>l</w:t>
      </w:r>
      <w:r>
        <w:rPr>
          <w:b/>
          <w:sz w:val="28"/>
        </w:rPr>
        <w:t xml:space="preserve"> Audit</w:t>
      </w:r>
      <w:r w:rsidR="00651935">
        <w:rPr>
          <w:b/>
          <w:sz w:val="28"/>
        </w:rPr>
        <w:t xml:space="preserve">: </w:t>
      </w:r>
      <w:r w:rsidR="00E14778" w:rsidRPr="004A7542">
        <w:rPr>
          <w:b/>
          <w:sz w:val="28"/>
        </w:rPr>
        <w:t xml:space="preserve"> Neale Burns </w:t>
      </w:r>
    </w:p>
    <w:p w14:paraId="5CF04A24" w14:textId="65A6E8D0" w:rsidR="00BF5AFA" w:rsidRPr="00A66326" w:rsidRDefault="00BF5AFA" w:rsidP="00BF5AFA">
      <w:r w:rsidRPr="00A66326">
        <w:t>Signed on behalf of</w:t>
      </w:r>
      <w:r w:rsidR="004A7542">
        <w:t xml:space="preserve"> </w:t>
      </w:r>
      <w:r w:rsidRPr="00A66326">
        <w:t xml:space="preserve">the </w:t>
      </w:r>
      <w:r>
        <w:t>Head of Internal Audit</w:t>
      </w:r>
      <w:r w:rsidR="008E56C3">
        <w:t xml:space="preserve"> </w:t>
      </w:r>
    </w:p>
    <w:p w14:paraId="065BF29C" w14:textId="2D5F672D" w:rsidR="00BF5AFA" w:rsidRPr="00F42E1E" w:rsidRDefault="00BF5AFA" w:rsidP="00BF5AFA">
      <w:pPr>
        <w:pStyle w:val="Heading2"/>
        <w:spacing w:after="240"/>
        <w:rPr>
          <w:rFonts w:ascii="Arial" w:hAnsi="Arial"/>
          <w:sz w:val="28"/>
        </w:rPr>
      </w:pPr>
      <w:r w:rsidRPr="00F42E1E">
        <w:rPr>
          <w:rFonts w:ascii="Arial" w:hAnsi="Arial"/>
          <w:sz w:val="28"/>
        </w:rPr>
        <w:t>Date:</w:t>
      </w:r>
      <w:r w:rsidR="004A7542">
        <w:rPr>
          <w:rFonts w:ascii="Arial" w:hAnsi="Arial"/>
          <w:sz w:val="28"/>
        </w:rPr>
        <w:t xml:space="preserve"> </w:t>
      </w:r>
      <w:r w:rsidR="001847B6">
        <w:rPr>
          <w:rFonts w:ascii="Arial" w:hAnsi="Arial"/>
          <w:sz w:val="28"/>
        </w:rPr>
        <w:t xml:space="preserve">10/05/23 </w:t>
      </w:r>
    </w:p>
    <w:p w14:paraId="236185B6" w14:textId="2A2558EA"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4C3888">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0E34618C" w14:textId="5EBABD5F" w:rsidR="00730918" w:rsidRPr="00640845" w:rsidRDefault="003313EA" w:rsidP="008267BD">
      <w:pPr>
        <w:pStyle w:val="Heading3"/>
        <w:ind w:left="0" w:firstLine="0"/>
        <w:jc w:val="left"/>
      </w:pPr>
      <w:r w:rsidRPr="003313EA">
        <w:t xml:space="preserve">Ward Councillors </w:t>
      </w:r>
      <w:r>
        <w:t xml:space="preserve">notified: </w:t>
      </w:r>
      <w:r w:rsidRPr="008267BD">
        <w:rPr>
          <w:b w:val="0"/>
          <w:bCs w:val="0"/>
        </w:rPr>
        <w:t>NO, as it impacts on all Wards</w:t>
      </w:r>
      <w:r w:rsidR="008267BD">
        <w:rPr>
          <w:b w:val="0"/>
          <w:bCs w:val="0"/>
        </w:rPr>
        <w:t xml:space="preserve">. </w:t>
      </w:r>
      <w:r w:rsidR="00D54007" w:rsidRPr="008267BD">
        <w:rPr>
          <w:b w:val="0"/>
          <w:bCs w:val="0"/>
          <w:szCs w:val="22"/>
        </w:rPr>
        <w:t>During consu</w:t>
      </w:r>
      <w:r w:rsidR="00EC6DAC" w:rsidRPr="008267BD">
        <w:rPr>
          <w:b w:val="0"/>
          <w:bCs w:val="0"/>
          <w:szCs w:val="22"/>
        </w:rPr>
        <w:t>l</w:t>
      </w:r>
      <w:r w:rsidR="00D54007" w:rsidRPr="008267BD">
        <w:rPr>
          <w:b w:val="0"/>
          <w:bCs w:val="0"/>
          <w:szCs w:val="22"/>
        </w:rPr>
        <w:t xml:space="preserve">tation </w:t>
      </w:r>
      <w:r w:rsidR="008267BD">
        <w:rPr>
          <w:b w:val="0"/>
          <w:bCs w:val="0"/>
          <w:szCs w:val="22"/>
        </w:rPr>
        <w:t xml:space="preserve">relevant Ward Members impacted by the project will be notified. </w:t>
      </w:r>
    </w:p>
    <w:p w14:paraId="2A3726AF" w14:textId="2140AA31" w:rsidR="00F87A14" w:rsidRDefault="00F87A14" w:rsidP="00F87A14"/>
    <w:p w14:paraId="460C22AE" w14:textId="0061A94F" w:rsidR="00F87A14" w:rsidRDefault="00F87A14" w:rsidP="00F87A14">
      <w:pPr>
        <w:autoSpaceDE w:val="0"/>
        <w:autoSpaceDN w:val="0"/>
        <w:adjustRightInd w:val="0"/>
        <w:rPr>
          <w:rFonts w:cs="Arial"/>
          <w:sz w:val="28"/>
          <w:szCs w:val="28"/>
          <w:lang w:eastAsia="en-GB"/>
        </w:rPr>
      </w:pPr>
      <w:r w:rsidRPr="00DB4876">
        <w:rPr>
          <w:rFonts w:cs="Arial"/>
          <w:b/>
          <w:bCs/>
          <w:sz w:val="28"/>
          <w:szCs w:val="28"/>
        </w:rPr>
        <w:t>YES</w:t>
      </w:r>
      <w:r>
        <w:t xml:space="preserve"> -</w:t>
      </w:r>
      <w:r w:rsidRPr="00DB4876">
        <w:rPr>
          <w:rFonts w:cs="Arial"/>
          <w:sz w:val="28"/>
          <w:szCs w:val="28"/>
          <w:lang w:eastAsia="en-GB"/>
        </w:rPr>
        <w:t xml:space="preserve"> </w:t>
      </w:r>
      <w:r>
        <w:rPr>
          <w:rFonts w:cs="Arial"/>
          <w:sz w:val="28"/>
          <w:szCs w:val="28"/>
          <w:lang w:eastAsia="en-GB"/>
        </w:rPr>
        <w:t>An overarching</w:t>
      </w:r>
      <w:r w:rsidR="008267BD">
        <w:rPr>
          <w:rFonts w:cs="Arial"/>
          <w:sz w:val="28"/>
          <w:szCs w:val="28"/>
          <w:lang w:eastAsia="en-GB"/>
        </w:rPr>
        <w:t xml:space="preserve"> </w:t>
      </w:r>
      <w:r>
        <w:rPr>
          <w:rFonts w:cs="Arial"/>
          <w:sz w:val="28"/>
          <w:szCs w:val="28"/>
          <w:lang w:eastAsia="en-GB"/>
        </w:rPr>
        <w:t>EQIA was undertaken for the programme</w:t>
      </w:r>
      <w:r>
        <w:t xml:space="preserve"> </w:t>
      </w:r>
      <w:r w:rsidRPr="00E55D55">
        <w:rPr>
          <w:rFonts w:cs="Arial"/>
          <w:sz w:val="28"/>
          <w:szCs w:val="28"/>
          <w:lang w:eastAsia="en-GB"/>
        </w:rPr>
        <w:t>Directorate Equality Task Group</w:t>
      </w:r>
      <w:r>
        <w:rPr>
          <w:rFonts w:cs="Arial"/>
          <w:sz w:val="28"/>
          <w:szCs w:val="28"/>
          <w:lang w:eastAsia="en-GB"/>
        </w:rPr>
        <w:t>.</w:t>
      </w:r>
    </w:p>
    <w:p w14:paraId="3DA8E67C" w14:textId="77777777" w:rsidR="008267BD" w:rsidRPr="00202D79" w:rsidRDefault="008267BD" w:rsidP="00F87A14">
      <w:pPr>
        <w:autoSpaceDE w:val="0"/>
        <w:autoSpaceDN w:val="0"/>
        <w:adjustRightInd w:val="0"/>
      </w:pPr>
    </w:p>
    <w:p w14:paraId="5A9B4181" w14:textId="53B7A346" w:rsidR="00F87A14" w:rsidRPr="008267BD" w:rsidRDefault="00F87A14" w:rsidP="00F87A14">
      <w:pPr>
        <w:pStyle w:val="Infotext"/>
        <w:rPr>
          <w:color w:val="FF0000"/>
        </w:rPr>
      </w:pPr>
      <w:proofErr w:type="spellStart"/>
      <w:r w:rsidRPr="00DB4876">
        <w:rPr>
          <w:b/>
          <w:bCs/>
        </w:rPr>
        <w:t>EqIA</w:t>
      </w:r>
      <w:proofErr w:type="spellEnd"/>
      <w:r w:rsidRPr="00DB4876">
        <w:rPr>
          <w:b/>
          <w:bCs/>
        </w:rPr>
        <w:t xml:space="preserve"> cleared by</w:t>
      </w:r>
      <w:r w:rsidRPr="00202D79">
        <w:t>:</w:t>
      </w:r>
      <w:r>
        <w:t xml:space="preserve"> </w:t>
      </w:r>
      <w:r w:rsidR="00AC6C69" w:rsidRPr="008267BD">
        <w:t>Jennifer Rock</w:t>
      </w:r>
      <w:r w:rsidR="009A725D" w:rsidRPr="008267BD">
        <w:t xml:space="preserve"> </w:t>
      </w:r>
      <w:r w:rsidR="008267BD">
        <w:t>(</w:t>
      </w:r>
      <w:r w:rsidR="009A725D" w:rsidRPr="008267BD">
        <w:t>12/05/23</w:t>
      </w:r>
      <w:r w:rsidR="008267BD">
        <w:t>)</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10B43548" w:rsidR="00333FAA" w:rsidRPr="008267BD" w:rsidRDefault="00333FAA" w:rsidP="00CC18AC">
      <w:pPr>
        <w:pStyle w:val="Infotext"/>
        <w:spacing w:after="240"/>
        <w:rPr>
          <w:rFonts w:cs="Arial"/>
          <w:iCs/>
          <w:szCs w:val="28"/>
          <w:lang w:eastAsia="en-GB"/>
        </w:rPr>
      </w:pPr>
      <w:r w:rsidRPr="008267BD">
        <w:rPr>
          <w:rFonts w:cs="Arial"/>
          <w:b/>
          <w:bCs/>
          <w:iCs/>
          <w:sz w:val="24"/>
          <w:szCs w:val="24"/>
          <w:lang w:eastAsia="en-GB"/>
        </w:rPr>
        <w:t>Contact</w:t>
      </w:r>
      <w:r w:rsidRPr="00EF04DF">
        <w:rPr>
          <w:rFonts w:cs="Arial"/>
          <w:iCs/>
          <w:sz w:val="24"/>
          <w:szCs w:val="24"/>
          <w:lang w:eastAsia="en-GB"/>
        </w:rPr>
        <w:t xml:space="preserve">:  </w:t>
      </w:r>
      <w:r w:rsidR="001847B6" w:rsidRPr="008267BD">
        <w:rPr>
          <w:rFonts w:cs="Arial"/>
          <w:iCs/>
          <w:szCs w:val="28"/>
          <w:lang w:eastAsia="en-GB"/>
        </w:rPr>
        <w:t>Simbarashe Manjonjori</w:t>
      </w:r>
      <w:r w:rsidR="00EE0B7D" w:rsidRPr="008267BD">
        <w:rPr>
          <w:rFonts w:cs="Arial"/>
          <w:iCs/>
          <w:szCs w:val="28"/>
          <w:lang w:eastAsia="en-GB"/>
        </w:rPr>
        <w:t xml:space="preserve">, Interim </w:t>
      </w:r>
      <w:r w:rsidR="001847B6" w:rsidRPr="008267BD">
        <w:rPr>
          <w:rFonts w:cs="Arial"/>
          <w:iCs/>
          <w:szCs w:val="28"/>
          <w:lang w:eastAsia="en-GB"/>
        </w:rPr>
        <w:t>Planned Investment Manager</w:t>
      </w:r>
      <w:r w:rsidR="00EE0B7D" w:rsidRPr="008267BD">
        <w:rPr>
          <w:rFonts w:cs="Arial"/>
          <w:iCs/>
          <w:szCs w:val="28"/>
          <w:lang w:eastAsia="en-GB"/>
        </w:rPr>
        <w:t xml:space="preserve">, </w:t>
      </w:r>
      <w:hyperlink r:id="rId13" w:history="1">
        <w:r w:rsidR="008267BD" w:rsidRPr="00433605">
          <w:rPr>
            <w:rStyle w:val="Hyperlink"/>
            <w:rFonts w:cs="Arial"/>
            <w:iCs/>
            <w:szCs w:val="28"/>
            <w:lang w:eastAsia="en-GB"/>
          </w:rPr>
          <w:t>Simbarashe.Manjonjori@harrow.gov.uk</w:t>
        </w:r>
      </w:hyperlink>
      <w:r w:rsidR="00EE0B7D" w:rsidRPr="008267BD">
        <w:rPr>
          <w:rFonts w:cs="Arial"/>
          <w:iCs/>
          <w:szCs w:val="28"/>
          <w:lang w:eastAsia="en-GB"/>
        </w:rPr>
        <w:t>, tel. 07927 548</w:t>
      </w:r>
      <w:r w:rsidR="001847B6" w:rsidRPr="008267BD">
        <w:rPr>
          <w:rFonts w:cs="Arial"/>
          <w:iCs/>
          <w:szCs w:val="28"/>
          <w:lang w:eastAsia="en-GB"/>
        </w:rPr>
        <w:t>395</w:t>
      </w:r>
    </w:p>
    <w:p w14:paraId="77C58D4B" w14:textId="21565E0A" w:rsidR="00333FAA" w:rsidRDefault="00333FAA" w:rsidP="00CC18AC">
      <w:pPr>
        <w:pStyle w:val="Infotext"/>
        <w:spacing w:after="240"/>
        <w:rPr>
          <w:b/>
        </w:rPr>
      </w:pPr>
      <w:r w:rsidRPr="004E47FC">
        <w:rPr>
          <w:b/>
        </w:rPr>
        <w:t xml:space="preserve">Background Papers: </w:t>
      </w:r>
      <w:r w:rsidR="009A725D" w:rsidRPr="008267BD">
        <w:rPr>
          <w:bCs/>
        </w:rPr>
        <w:t>None</w:t>
      </w:r>
    </w:p>
    <w:p w14:paraId="3CCA5C3B" w14:textId="0A919EE5" w:rsidR="000D4E36" w:rsidRPr="008267BD" w:rsidRDefault="00842757" w:rsidP="004B0F7C">
      <w:pPr>
        <w:rPr>
          <w:rFonts w:cs="Arial"/>
          <w:i/>
          <w:sz w:val="28"/>
          <w:szCs w:val="28"/>
          <w:lang w:eastAsia="en-GB"/>
        </w:rPr>
      </w:pPr>
      <w:r w:rsidRPr="008267BD">
        <w:rPr>
          <w:rFonts w:ascii="Arial Black" w:hAnsi="Arial Black"/>
          <w:sz w:val="28"/>
          <w:szCs w:val="22"/>
        </w:rPr>
        <w:t>Call-in waived by the Chair of Overview and Scrutiny Committee</w:t>
      </w:r>
      <w:r w:rsidR="009A725D" w:rsidRPr="008267BD">
        <w:rPr>
          <w:rFonts w:ascii="Arial Black" w:hAnsi="Arial Black"/>
          <w:sz w:val="28"/>
          <w:szCs w:val="22"/>
        </w:rPr>
        <w:t xml:space="preserve"> - </w:t>
      </w:r>
      <w:r w:rsidR="008267BD" w:rsidRPr="008267BD">
        <w:rPr>
          <w:rFonts w:ascii="Arial Black" w:hAnsi="Arial Black"/>
          <w:sz w:val="28"/>
          <w:szCs w:val="22"/>
        </w:rPr>
        <w:t>NO</w:t>
      </w:r>
    </w:p>
    <w:sectPr w:rsidR="000D4E36" w:rsidRPr="008267BD"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9F52" w14:textId="77777777" w:rsidR="003A441B" w:rsidRDefault="003A441B">
      <w:r>
        <w:separator/>
      </w:r>
    </w:p>
  </w:endnote>
  <w:endnote w:type="continuationSeparator" w:id="0">
    <w:p w14:paraId="094B240C" w14:textId="77777777" w:rsidR="003A441B" w:rsidRDefault="003A441B">
      <w:r>
        <w:continuationSeparator/>
      </w:r>
    </w:p>
  </w:endnote>
  <w:endnote w:type="continuationNotice" w:id="1">
    <w:p w14:paraId="36713AD7" w14:textId="77777777" w:rsidR="003A441B" w:rsidRDefault="003A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0284" w14:textId="77777777" w:rsidR="003A441B" w:rsidRDefault="003A441B">
      <w:r>
        <w:separator/>
      </w:r>
    </w:p>
  </w:footnote>
  <w:footnote w:type="continuationSeparator" w:id="0">
    <w:p w14:paraId="49492701" w14:textId="77777777" w:rsidR="003A441B" w:rsidRDefault="003A441B">
      <w:r>
        <w:continuationSeparator/>
      </w:r>
    </w:p>
  </w:footnote>
  <w:footnote w:type="continuationNotice" w:id="1">
    <w:p w14:paraId="0005B2B7" w14:textId="77777777" w:rsidR="003A441B" w:rsidRDefault="003A4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1158A"/>
    <w:multiLevelType w:val="hybridMultilevel"/>
    <w:tmpl w:val="E1EE2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7613D"/>
    <w:multiLevelType w:val="multilevel"/>
    <w:tmpl w:val="08BC938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50B89"/>
    <w:multiLevelType w:val="hybridMultilevel"/>
    <w:tmpl w:val="91DC4D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F22CB"/>
    <w:multiLevelType w:val="multilevel"/>
    <w:tmpl w:val="119293F2"/>
    <w:lvl w:ilvl="0">
      <w:start w:val="1"/>
      <w:numFmt w:val="decimal"/>
      <w:lvlText w:val="%1"/>
      <w:lvlJc w:val="left"/>
      <w:pPr>
        <w:ind w:left="400" w:hanging="400"/>
      </w:pPr>
      <w:rPr>
        <w:rFonts w:hint="default"/>
      </w:rPr>
    </w:lvl>
    <w:lvl w:ilvl="1">
      <w:start w:val="1"/>
      <w:numFmt w:val="decimal"/>
      <w:lvlText w:val="%1.%2"/>
      <w:lvlJc w:val="left"/>
      <w:pPr>
        <w:ind w:left="437" w:hanging="40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096" w:hanging="1800"/>
      </w:pPr>
      <w:rPr>
        <w:rFonts w:hint="default"/>
      </w:rPr>
    </w:lvl>
  </w:abstractNum>
  <w:abstractNum w:abstractNumId="12" w15:restartNumberingAfterBreak="0">
    <w:nsid w:val="1920191F"/>
    <w:multiLevelType w:val="multilevel"/>
    <w:tmpl w:val="2DFEDE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C3BF6"/>
    <w:multiLevelType w:val="hybridMultilevel"/>
    <w:tmpl w:val="B714FC74"/>
    <w:lvl w:ilvl="0" w:tplc="D5A221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56CE"/>
    <w:multiLevelType w:val="multilevel"/>
    <w:tmpl w:val="DEACE8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131763"/>
    <w:multiLevelType w:val="hybridMultilevel"/>
    <w:tmpl w:val="B2E6C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125113F"/>
    <w:multiLevelType w:val="multilevel"/>
    <w:tmpl w:val="B7861D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B16D49"/>
    <w:multiLevelType w:val="hybridMultilevel"/>
    <w:tmpl w:val="B2CE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FB2889"/>
    <w:multiLevelType w:val="hybridMultilevel"/>
    <w:tmpl w:val="BD5AA162"/>
    <w:lvl w:ilvl="0" w:tplc="7FEE46C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87F87"/>
    <w:multiLevelType w:val="multilevel"/>
    <w:tmpl w:val="571C56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D05AC1"/>
    <w:multiLevelType w:val="hybridMultilevel"/>
    <w:tmpl w:val="2E2A47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607965">
    <w:abstractNumId w:val="27"/>
  </w:num>
  <w:num w:numId="2" w16cid:durableId="1108357717">
    <w:abstractNumId w:val="54"/>
  </w:num>
  <w:num w:numId="3" w16cid:durableId="908150971">
    <w:abstractNumId w:val="22"/>
  </w:num>
  <w:num w:numId="4" w16cid:durableId="149642578">
    <w:abstractNumId w:val="57"/>
  </w:num>
  <w:num w:numId="5" w16cid:durableId="1282608219">
    <w:abstractNumId w:val="53"/>
  </w:num>
  <w:num w:numId="6" w16cid:durableId="1448888989">
    <w:abstractNumId w:val="26"/>
  </w:num>
  <w:num w:numId="7" w16cid:durableId="733309248">
    <w:abstractNumId w:val="1"/>
  </w:num>
  <w:num w:numId="8" w16cid:durableId="1056664249">
    <w:abstractNumId w:val="33"/>
  </w:num>
  <w:num w:numId="9" w16cid:durableId="249892697">
    <w:abstractNumId w:val="34"/>
  </w:num>
  <w:num w:numId="10" w16cid:durableId="664013663">
    <w:abstractNumId w:val="56"/>
  </w:num>
  <w:num w:numId="11" w16cid:durableId="1756314742">
    <w:abstractNumId w:val="19"/>
  </w:num>
  <w:num w:numId="12" w16cid:durableId="871302043">
    <w:abstractNumId w:val="31"/>
  </w:num>
  <w:num w:numId="13" w16cid:durableId="1865047993">
    <w:abstractNumId w:val="32"/>
  </w:num>
  <w:num w:numId="14" w16cid:durableId="1089886847">
    <w:abstractNumId w:val="20"/>
  </w:num>
  <w:num w:numId="15" w16cid:durableId="1757895361">
    <w:abstractNumId w:val="46"/>
  </w:num>
  <w:num w:numId="16" w16cid:durableId="356852911">
    <w:abstractNumId w:val="23"/>
  </w:num>
  <w:num w:numId="17" w16cid:durableId="1086029049">
    <w:abstractNumId w:val="49"/>
  </w:num>
  <w:num w:numId="18" w16cid:durableId="1514879515">
    <w:abstractNumId w:val="29"/>
  </w:num>
  <w:num w:numId="19" w16cid:durableId="510217268">
    <w:abstractNumId w:val="55"/>
  </w:num>
  <w:num w:numId="20" w16cid:durableId="935597186">
    <w:abstractNumId w:val="8"/>
  </w:num>
  <w:num w:numId="21" w16cid:durableId="1265190433">
    <w:abstractNumId w:val="0"/>
  </w:num>
  <w:num w:numId="22" w16cid:durableId="1111827017">
    <w:abstractNumId w:val="9"/>
  </w:num>
  <w:num w:numId="23" w16cid:durableId="926498958">
    <w:abstractNumId w:val="41"/>
  </w:num>
  <w:num w:numId="24" w16cid:durableId="2024084750">
    <w:abstractNumId w:val="13"/>
  </w:num>
  <w:num w:numId="25" w16cid:durableId="171842513">
    <w:abstractNumId w:val="36"/>
  </w:num>
  <w:num w:numId="26" w16cid:durableId="818881114">
    <w:abstractNumId w:val="42"/>
  </w:num>
  <w:num w:numId="27" w16cid:durableId="102237938">
    <w:abstractNumId w:val="44"/>
  </w:num>
  <w:num w:numId="28" w16cid:durableId="154692826">
    <w:abstractNumId w:val="17"/>
  </w:num>
  <w:num w:numId="29" w16cid:durableId="765079192">
    <w:abstractNumId w:val="52"/>
  </w:num>
  <w:num w:numId="30" w16cid:durableId="504052965">
    <w:abstractNumId w:val="16"/>
  </w:num>
  <w:num w:numId="31" w16cid:durableId="588856917">
    <w:abstractNumId w:val="45"/>
  </w:num>
  <w:num w:numId="32" w16cid:durableId="30695118">
    <w:abstractNumId w:val="48"/>
  </w:num>
  <w:num w:numId="33" w16cid:durableId="2138982841">
    <w:abstractNumId w:val="50"/>
  </w:num>
  <w:num w:numId="34" w16cid:durableId="115881165">
    <w:abstractNumId w:val="14"/>
  </w:num>
  <w:num w:numId="35" w16cid:durableId="1496646039">
    <w:abstractNumId w:val="37"/>
  </w:num>
  <w:num w:numId="36" w16cid:durableId="388695611">
    <w:abstractNumId w:val="6"/>
  </w:num>
  <w:num w:numId="37" w16cid:durableId="164327440">
    <w:abstractNumId w:val="30"/>
  </w:num>
  <w:num w:numId="38" w16cid:durableId="1645815914">
    <w:abstractNumId w:val="58"/>
  </w:num>
  <w:num w:numId="39" w16cid:durableId="1866820925">
    <w:abstractNumId w:val="10"/>
  </w:num>
  <w:num w:numId="40" w16cid:durableId="1610889584">
    <w:abstractNumId w:val="7"/>
  </w:num>
  <w:num w:numId="41" w16cid:durableId="915748321">
    <w:abstractNumId w:val="51"/>
  </w:num>
  <w:num w:numId="42" w16cid:durableId="243997206">
    <w:abstractNumId w:val="59"/>
  </w:num>
  <w:num w:numId="43" w16cid:durableId="456875399">
    <w:abstractNumId w:val="47"/>
  </w:num>
  <w:num w:numId="44" w16cid:durableId="1501584451">
    <w:abstractNumId w:val="4"/>
  </w:num>
  <w:num w:numId="45" w16cid:durableId="686835752">
    <w:abstractNumId w:val="21"/>
  </w:num>
  <w:num w:numId="46" w16cid:durableId="21169307">
    <w:abstractNumId w:val="40"/>
  </w:num>
  <w:num w:numId="47" w16cid:durableId="1982420807">
    <w:abstractNumId w:val="39"/>
  </w:num>
  <w:num w:numId="48" w16cid:durableId="1152867730">
    <w:abstractNumId w:val="43"/>
  </w:num>
  <w:num w:numId="49" w16cid:durableId="482233789">
    <w:abstractNumId w:val="2"/>
  </w:num>
  <w:num w:numId="50" w16cid:durableId="1632974250">
    <w:abstractNumId w:val="24"/>
  </w:num>
  <w:num w:numId="51" w16cid:durableId="1477801964">
    <w:abstractNumId w:val="3"/>
  </w:num>
  <w:num w:numId="52" w16cid:durableId="311913384">
    <w:abstractNumId w:val="25"/>
  </w:num>
  <w:num w:numId="53" w16cid:durableId="362174079">
    <w:abstractNumId w:val="38"/>
  </w:num>
  <w:num w:numId="54" w16cid:durableId="1264653016">
    <w:abstractNumId w:val="5"/>
  </w:num>
  <w:num w:numId="55" w16cid:durableId="572008871">
    <w:abstractNumId w:val="18"/>
  </w:num>
  <w:num w:numId="56" w16cid:durableId="1750803938">
    <w:abstractNumId w:val="12"/>
  </w:num>
  <w:num w:numId="57" w16cid:durableId="289827171">
    <w:abstractNumId w:val="35"/>
  </w:num>
  <w:num w:numId="58" w16cid:durableId="322701278">
    <w:abstractNumId w:val="11"/>
  </w:num>
  <w:num w:numId="59" w16cid:durableId="1752122403">
    <w:abstractNumId w:val="28"/>
  </w:num>
  <w:num w:numId="60" w16cid:durableId="274293865">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109"/>
    <w:rsid w:val="0000437A"/>
    <w:rsid w:val="00006B36"/>
    <w:rsid w:val="0001063B"/>
    <w:rsid w:val="000134C2"/>
    <w:rsid w:val="00016710"/>
    <w:rsid w:val="00027649"/>
    <w:rsid w:val="00030380"/>
    <w:rsid w:val="00030734"/>
    <w:rsid w:val="00033664"/>
    <w:rsid w:val="00034E00"/>
    <w:rsid w:val="00036FB4"/>
    <w:rsid w:val="00037B7F"/>
    <w:rsid w:val="0004029A"/>
    <w:rsid w:val="000406D9"/>
    <w:rsid w:val="00042AE2"/>
    <w:rsid w:val="00042F6A"/>
    <w:rsid w:val="000474E3"/>
    <w:rsid w:val="00052918"/>
    <w:rsid w:val="000542EB"/>
    <w:rsid w:val="0005607E"/>
    <w:rsid w:val="00056974"/>
    <w:rsid w:val="0006034E"/>
    <w:rsid w:val="00061ADC"/>
    <w:rsid w:val="00063783"/>
    <w:rsid w:val="00064EC3"/>
    <w:rsid w:val="0006636D"/>
    <w:rsid w:val="00066EA9"/>
    <w:rsid w:val="00073765"/>
    <w:rsid w:val="00073A98"/>
    <w:rsid w:val="00074A8F"/>
    <w:rsid w:val="00076F46"/>
    <w:rsid w:val="00081AEB"/>
    <w:rsid w:val="0008266F"/>
    <w:rsid w:val="00085812"/>
    <w:rsid w:val="000871F4"/>
    <w:rsid w:val="000929A6"/>
    <w:rsid w:val="00095FA1"/>
    <w:rsid w:val="000A0264"/>
    <w:rsid w:val="000A053A"/>
    <w:rsid w:val="000A5D63"/>
    <w:rsid w:val="000B3769"/>
    <w:rsid w:val="000B43A4"/>
    <w:rsid w:val="000B5015"/>
    <w:rsid w:val="000B788F"/>
    <w:rsid w:val="000B7B0E"/>
    <w:rsid w:val="000B7C66"/>
    <w:rsid w:val="000C1D22"/>
    <w:rsid w:val="000C5D1F"/>
    <w:rsid w:val="000C6166"/>
    <w:rsid w:val="000C66EF"/>
    <w:rsid w:val="000C6CD7"/>
    <w:rsid w:val="000D1538"/>
    <w:rsid w:val="000D4E36"/>
    <w:rsid w:val="000E0049"/>
    <w:rsid w:val="000E62FE"/>
    <w:rsid w:val="000E7F0C"/>
    <w:rsid w:val="000F0D84"/>
    <w:rsid w:val="001023F9"/>
    <w:rsid w:val="00104183"/>
    <w:rsid w:val="00105B8A"/>
    <w:rsid w:val="0011381B"/>
    <w:rsid w:val="001161E4"/>
    <w:rsid w:val="00116818"/>
    <w:rsid w:val="001209CE"/>
    <w:rsid w:val="00125A26"/>
    <w:rsid w:val="00133441"/>
    <w:rsid w:val="001352D9"/>
    <w:rsid w:val="001363B3"/>
    <w:rsid w:val="001370DC"/>
    <w:rsid w:val="00141250"/>
    <w:rsid w:val="00141A03"/>
    <w:rsid w:val="00141B27"/>
    <w:rsid w:val="001462F8"/>
    <w:rsid w:val="001472A8"/>
    <w:rsid w:val="001478F7"/>
    <w:rsid w:val="00150CB2"/>
    <w:rsid w:val="0015376F"/>
    <w:rsid w:val="0015467D"/>
    <w:rsid w:val="00154E35"/>
    <w:rsid w:val="00155CF7"/>
    <w:rsid w:val="00155E91"/>
    <w:rsid w:val="00156C6F"/>
    <w:rsid w:val="00157A07"/>
    <w:rsid w:val="001614E0"/>
    <w:rsid w:val="00164BE5"/>
    <w:rsid w:val="0016742C"/>
    <w:rsid w:val="00171BD8"/>
    <w:rsid w:val="00171FC6"/>
    <w:rsid w:val="0017653E"/>
    <w:rsid w:val="00181EFF"/>
    <w:rsid w:val="00182B01"/>
    <w:rsid w:val="001840D2"/>
    <w:rsid w:val="001847B6"/>
    <w:rsid w:val="00193F8C"/>
    <w:rsid w:val="00195341"/>
    <w:rsid w:val="00195C6B"/>
    <w:rsid w:val="001966D7"/>
    <w:rsid w:val="00196EA8"/>
    <w:rsid w:val="001A0323"/>
    <w:rsid w:val="001A5809"/>
    <w:rsid w:val="001A63C5"/>
    <w:rsid w:val="001A7DFE"/>
    <w:rsid w:val="001B5199"/>
    <w:rsid w:val="001C084B"/>
    <w:rsid w:val="001C1F75"/>
    <w:rsid w:val="001C3E0E"/>
    <w:rsid w:val="001C4CA3"/>
    <w:rsid w:val="001C4D2E"/>
    <w:rsid w:val="001C7E35"/>
    <w:rsid w:val="001D04A0"/>
    <w:rsid w:val="001D14D2"/>
    <w:rsid w:val="001D2C16"/>
    <w:rsid w:val="001D3ADD"/>
    <w:rsid w:val="001D3BDC"/>
    <w:rsid w:val="001E3C06"/>
    <w:rsid w:val="001E3C78"/>
    <w:rsid w:val="001E4D10"/>
    <w:rsid w:val="001F0037"/>
    <w:rsid w:val="001F0142"/>
    <w:rsid w:val="001F0BE9"/>
    <w:rsid w:val="001F5BCB"/>
    <w:rsid w:val="001F7037"/>
    <w:rsid w:val="001F738B"/>
    <w:rsid w:val="001F7EC9"/>
    <w:rsid w:val="0020025E"/>
    <w:rsid w:val="00200DD4"/>
    <w:rsid w:val="00202D79"/>
    <w:rsid w:val="002047A4"/>
    <w:rsid w:val="00205D2F"/>
    <w:rsid w:val="00207454"/>
    <w:rsid w:val="00215E8F"/>
    <w:rsid w:val="00221A93"/>
    <w:rsid w:val="00224AEC"/>
    <w:rsid w:val="002275E5"/>
    <w:rsid w:val="002314D4"/>
    <w:rsid w:val="002322BB"/>
    <w:rsid w:val="00232B5C"/>
    <w:rsid w:val="00233C09"/>
    <w:rsid w:val="00234115"/>
    <w:rsid w:val="00244FEE"/>
    <w:rsid w:val="00250E29"/>
    <w:rsid w:val="00251254"/>
    <w:rsid w:val="002535C5"/>
    <w:rsid w:val="00253942"/>
    <w:rsid w:val="002540F3"/>
    <w:rsid w:val="0025472B"/>
    <w:rsid w:val="002548D1"/>
    <w:rsid w:val="00254BDB"/>
    <w:rsid w:val="00264835"/>
    <w:rsid w:val="002675D7"/>
    <w:rsid w:val="0027283B"/>
    <w:rsid w:val="00272ED6"/>
    <w:rsid w:val="00272EE5"/>
    <w:rsid w:val="00274615"/>
    <w:rsid w:val="00275E47"/>
    <w:rsid w:val="0028019B"/>
    <w:rsid w:val="00280A80"/>
    <w:rsid w:val="0028100F"/>
    <w:rsid w:val="002820D4"/>
    <w:rsid w:val="00282E73"/>
    <w:rsid w:val="00283CAB"/>
    <w:rsid w:val="0028525A"/>
    <w:rsid w:val="00286D0A"/>
    <w:rsid w:val="00290FED"/>
    <w:rsid w:val="00294405"/>
    <w:rsid w:val="00295077"/>
    <w:rsid w:val="002A095D"/>
    <w:rsid w:val="002A2FA7"/>
    <w:rsid w:val="002A3FEF"/>
    <w:rsid w:val="002A61D3"/>
    <w:rsid w:val="002B54A6"/>
    <w:rsid w:val="002B70E0"/>
    <w:rsid w:val="002C081D"/>
    <w:rsid w:val="002C3F5E"/>
    <w:rsid w:val="002C7FD7"/>
    <w:rsid w:val="002D0449"/>
    <w:rsid w:val="002D47EC"/>
    <w:rsid w:val="002D4E4F"/>
    <w:rsid w:val="002D6AF6"/>
    <w:rsid w:val="002E2EDC"/>
    <w:rsid w:val="002F11FA"/>
    <w:rsid w:val="002F2F58"/>
    <w:rsid w:val="002F3EE9"/>
    <w:rsid w:val="00304606"/>
    <w:rsid w:val="003069ED"/>
    <w:rsid w:val="00307F76"/>
    <w:rsid w:val="003122E4"/>
    <w:rsid w:val="003137C9"/>
    <w:rsid w:val="00317B1D"/>
    <w:rsid w:val="00321FBB"/>
    <w:rsid w:val="003230E1"/>
    <w:rsid w:val="003233FA"/>
    <w:rsid w:val="00330832"/>
    <w:rsid w:val="00330CD4"/>
    <w:rsid w:val="003313EA"/>
    <w:rsid w:val="00333FAA"/>
    <w:rsid w:val="003355D7"/>
    <w:rsid w:val="00341641"/>
    <w:rsid w:val="00343EAF"/>
    <w:rsid w:val="00350F13"/>
    <w:rsid w:val="00353EF0"/>
    <w:rsid w:val="00360F40"/>
    <w:rsid w:val="003618CA"/>
    <w:rsid w:val="00361F01"/>
    <w:rsid w:val="0036201C"/>
    <w:rsid w:val="00362555"/>
    <w:rsid w:val="003639E5"/>
    <w:rsid w:val="003644AC"/>
    <w:rsid w:val="0037386A"/>
    <w:rsid w:val="003747BE"/>
    <w:rsid w:val="00376768"/>
    <w:rsid w:val="00377569"/>
    <w:rsid w:val="00380F87"/>
    <w:rsid w:val="003819EB"/>
    <w:rsid w:val="0038224D"/>
    <w:rsid w:val="0038616D"/>
    <w:rsid w:val="0039513B"/>
    <w:rsid w:val="00397617"/>
    <w:rsid w:val="003A21A6"/>
    <w:rsid w:val="003A2F9A"/>
    <w:rsid w:val="003A2FCA"/>
    <w:rsid w:val="003A441B"/>
    <w:rsid w:val="003B0A29"/>
    <w:rsid w:val="003B4B49"/>
    <w:rsid w:val="003B5DA8"/>
    <w:rsid w:val="003C100D"/>
    <w:rsid w:val="003C270D"/>
    <w:rsid w:val="003D5AF6"/>
    <w:rsid w:val="003F12D7"/>
    <w:rsid w:val="003F1E57"/>
    <w:rsid w:val="003F200F"/>
    <w:rsid w:val="003F27DA"/>
    <w:rsid w:val="003F3AFD"/>
    <w:rsid w:val="003F752F"/>
    <w:rsid w:val="004017E7"/>
    <w:rsid w:val="004019F5"/>
    <w:rsid w:val="004048D8"/>
    <w:rsid w:val="004074EE"/>
    <w:rsid w:val="004076C8"/>
    <w:rsid w:val="00414897"/>
    <w:rsid w:val="00416528"/>
    <w:rsid w:val="00420638"/>
    <w:rsid w:val="004207E3"/>
    <w:rsid w:val="00421A4C"/>
    <w:rsid w:val="004238C2"/>
    <w:rsid w:val="00433146"/>
    <w:rsid w:val="004334A8"/>
    <w:rsid w:val="00435B5D"/>
    <w:rsid w:val="004363F7"/>
    <w:rsid w:val="00437225"/>
    <w:rsid w:val="00442B27"/>
    <w:rsid w:val="00443083"/>
    <w:rsid w:val="0044461E"/>
    <w:rsid w:val="0044525C"/>
    <w:rsid w:val="004459B9"/>
    <w:rsid w:val="004515CE"/>
    <w:rsid w:val="004553F1"/>
    <w:rsid w:val="00455ED9"/>
    <w:rsid w:val="00463649"/>
    <w:rsid w:val="00471C1F"/>
    <w:rsid w:val="004809FA"/>
    <w:rsid w:val="0048157A"/>
    <w:rsid w:val="004845A7"/>
    <w:rsid w:val="00484F6F"/>
    <w:rsid w:val="00486847"/>
    <w:rsid w:val="004A22B4"/>
    <w:rsid w:val="004A2A6C"/>
    <w:rsid w:val="004A2C3B"/>
    <w:rsid w:val="004A5E08"/>
    <w:rsid w:val="004A6D14"/>
    <w:rsid w:val="004A7542"/>
    <w:rsid w:val="004B0F7C"/>
    <w:rsid w:val="004B4522"/>
    <w:rsid w:val="004B6E83"/>
    <w:rsid w:val="004C13D1"/>
    <w:rsid w:val="004C2D09"/>
    <w:rsid w:val="004C3888"/>
    <w:rsid w:val="004C3C52"/>
    <w:rsid w:val="004C4A75"/>
    <w:rsid w:val="004D16B2"/>
    <w:rsid w:val="004D2DA0"/>
    <w:rsid w:val="004E14A4"/>
    <w:rsid w:val="004E2FD2"/>
    <w:rsid w:val="004E3EDA"/>
    <w:rsid w:val="004E6857"/>
    <w:rsid w:val="004F4C7E"/>
    <w:rsid w:val="004F54BD"/>
    <w:rsid w:val="004F56C5"/>
    <w:rsid w:val="00501DB9"/>
    <w:rsid w:val="0050295F"/>
    <w:rsid w:val="0050386F"/>
    <w:rsid w:val="00506185"/>
    <w:rsid w:val="005074AA"/>
    <w:rsid w:val="00513CE5"/>
    <w:rsid w:val="00515C85"/>
    <w:rsid w:val="00515EF7"/>
    <w:rsid w:val="00516C9B"/>
    <w:rsid w:val="00521940"/>
    <w:rsid w:val="00531250"/>
    <w:rsid w:val="00533B0B"/>
    <w:rsid w:val="005354D0"/>
    <w:rsid w:val="0053602C"/>
    <w:rsid w:val="005369E8"/>
    <w:rsid w:val="0054172C"/>
    <w:rsid w:val="00545114"/>
    <w:rsid w:val="00545569"/>
    <w:rsid w:val="0054590F"/>
    <w:rsid w:val="005459EC"/>
    <w:rsid w:val="00550A7C"/>
    <w:rsid w:val="00551C1A"/>
    <w:rsid w:val="00554607"/>
    <w:rsid w:val="00556E6F"/>
    <w:rsid w:val="00557C2B"/>
    <w:rsid w:val="00563D02"/>
    <w:rsid w:val="00563EA4"/>
    <w:rsid w:val="005718B5"/>
    <w:rsid w:val="00571BFD"/>
    <w:rsid w:val="005808FB"/>
    <w:rsid w:val="005811F8"/>
    <w:rsid w:val="00581913"/>
    <w:rsid w:val="00582471"/>
    <w:rsid w:val="00582605"/>
    <w:rsid w:val="005853C0"/>
    <w:rsid w:val="005860E8"/>
    <w:rsid w:val="00587A98"/>
    <w:rsid w:val="005901BC"/>
    <w:rsid w:val="00590EFD"/>
    <w:rsid w:val="00591016"/>
    <w:rsid w:val="0059703A"/>
    <w:rsid w:val="005A1831"/>
    <w:rsid w:val="005A2EE3"/>
    <w:rsid w:val="005A7171"/>
    <w:rsid w:val="005A796B"/>
    <w:rsid w:val="005B35F1"/>
    <w:rsid w:val="005B3F67"/>
    <w:rsid w:val="005B79B4"/>
    <w:rsid w:val="005C2A79"/>
    <w:rsid w:val="005C52ED"/>
    <w:rsid w:val="005D0400"/>
    <w:rsid w:val="005D061C"/>
    <w:rsid w:val="005D1924"/>
    <w:rsid w:val="005D548F"/>
    <w:rsid w:val="005D6135"/>
    <w:rsid w:val="005D6EF5"/>
    <w:rsid w:val="005D7164"/>
    <w:rsid w:val="005E27BF"/>
    <w:rsid w:val="005E3A10"/>
    <w:rsid w:val="005E4A85"/>
    <w:rsid w:val="005E5BE0"/>
    <w:rsid w:val="005E7509"/>
    <w:rsid w:val="005F045F"/>
    <w:rsid w:val="005F5568"/>
    <w:rsid w:val="00601D7F"/>
    <w:rsid w:val="006030FA"/>
    <w:rsid w:val="00605029"/>
    <w:rsid w:val="00605A4C"/>
    <w:rsid w:val="00610381"/>
    <w:rsid w:val="00610D16"/>
    <w:rsid w:val="00620F63"/>
    <w:rsid w:val="0062165B"/>
    <w:rsid w:val="00621BA7"/>
    <w:rsid w:val="00622C60"/>
    <w:rsid w:val="00623617"/>
    <w:rsid w:val="006244EA"/>
    <w:rsid w:val="0062603D"/>
    <w:rsid w:val="006268A0"/>
    <w:rsid w:val="00627451"/>
    <w:rsid w:val="006301C4"/>
    <w:rsid w:val="006346F2"/>
    <w:rsid w:val="00634A88"/>
    <w:rsid w:val="00640845"/>
    <w:rsid w:val="00640867"/>
    <w:rsid w:val="006415F4"/>
    <w:rsid w:val="00645B8B"/>
    <w:rsid w:val="00651935"/>
    <w:rsid w:val="00653073"/>
    <w:rsid w:val="00655044"/>
    <w:rsid w:val="00661642"/>
    <w:rsid w:val="00664865"/>
    <w:rsid w:val="00666922"/>
    <w:rsid w:val="00666ED5"/>
    <w:rsid w:val="0066745C"/>
    <w:rsid w:val="00670F17"/>
    <w:rsid w:val="006710C7"/>
    <w:rsid w:val="006749DB"/>
    <w:rsid w:val="0067641B"/>
    <w:rsid w:val="00677A26"/>
    <w:rsid w:val="006813F4"/>
    <w:rsid w:val="00690C69"/>
    <w:rsid w:val="0069279C"/>
    <w:rsid w:val="006946DF"/>
    <w:rsid w:val="00696A83"/>
    <w:rsid w:val="006A15C4"/>
    <w:rsid w:val="006A28B9"/>
    <w:rsid w:val="006A4AEC"/>
    <w:rsid w:val="006A4AFE"/>
    <w:rsid w:val="006A591D"/>
    <w:rsid w:val="006B1E5B"/>
    <w:rsid w:val="006B62AD"/>
    <w:rsid w:val="006B63D6"/>
    <w:rsid w:val="006C0161"/>
    <w:rsid w:val="006C1BB1"/>
    <w:rsid w:val="006C351D"/>
    <w:rsid w:val="006C5332"/>
    <w:rsid w:val="006C580A"/>
    <w:rsid w:val="006C6B99"/>
    <w:rsid w:val="006D186D"/>
    <w:rsid w:val="006D1E69"/>
    <w:rsid w:val="006D353E"/>
    <w:rsid w:val="006D6BDB"/>
    <w:rsid w:val="006E2CC1"/>
    <w:rsid w:val="006E3961"/>
    <w:rsid w:val="006E72CD"/>
    <w:rsid w:val="006F057C"/>
    <w:rsid w:val="006F22DA"/>
    <w:rsid w:val="006F2EB3"/>
    <w:rsid w:val="006F2F82"/>
    <w:rsid w:val="006F6298"/>
    <w:rsid w:val="00703D0A"/>
    <w:rsid w:val="00705051"/>
    <w:rsid w:val="007112D1"/>
    <w:rsid w:val="007116B1"/>
    <w:rsid w:val="00714BEE"/>
    <w:rsid w:val="00714C23"/>
    <w:rsid w:val="00715753"/>
    <w:rsid w:val="00720C94"/>
    <w:rsid w:val="00721215"/>
    <w:rsid w:val="00730918"/>
    <w:rsid w:val="0073411E"/>
    <w:rsid w:val="00736D6B"/>
    <w:rsid w:val="007400CF"/>
    <w:rsid w:val="00741C6D"/>
    <w:rsid w:val="007508B8"/>
    <w:rsid w:val="007540CD"/>
    <w:rsid w:val="00756140"/>
    <w:rsid w:val="00760E3E"/>
    <w:rsid w:val="0077074D"/>
    <w:rsid w:val="00770A11"/>
    <w:rsid w:val="00773E52"/>
    <w:rsid w:val="007760EF"/>
    <w:rsid w:val="00783094"/>
    <w:rsid w:val="00783174"/>
    <w:rsid w:val="00790A8A"/>
    <w:rsid w:val="00792538"/>
    <w:rsid w:val="0079646A"/>
    <w:rsid w:val="007A0650"/>
    <w:rsid w:val="007A3F8E"/>
    <w:rsid w:val="007B23FC"/>
    <w:rsid w:val="007B61F6"/>
    <w:rsid w:val="007B65DC"/>
    <w:rsid w:val="007B70E8"/>
    <w:rsid w:val="007C0BF8"/>
    <w:rsid w:val="007C665A"/>
    <w:rsid w:val="007C785D"/>
    <w:rsid w:val="007D0C1D"/>
    <w:rsid w:val="007D2000"/>
    <w:rsid w:val="007D2176"/>
    <w:rsid w:val="007D39C8"/>
    <w:rsid w:val="007D4DBF"/>
    <w:rsid w:val="007D50EE"/>
    <w:rsid w:val="007E01E8"/>
    <w:rsid w:val="007E4732"/>
    <w:rsid w:val="007E4BA4"/>
    <w:rsid w:val="007E6D54"/>
    <w:rsid w:val="007F004E"/>
    <w:rsid w:val="007F335A"/>
    <w:rsid w:val="007F4B75"/>
    <w:rsid w:val="007F5614"/>
    <w:rsid w:val="008009D6"/>
    <w:rsid w:val="0080125D"/>
    <w:rsid w:val="00801DC4"/>
    <w:rsid w:val="008023AE"/>
    <w:rsid w:val="00803104"/>
    <w:rsid w:val="0080409C"/>
    <w:rsid w:val="00804281"/>
    <w:rsid w:val="00812901"/>
    <w:rsid w:val="0081540A"/>
    <w:rsid w:val="008168CF"/>
    <w:rsid w:val="008169DB"/>
    <w:rsid w:val="00817330"/>
    <w:rsid w:val="00820C9B"/>
    <w:rsid w:val="0082320F"/>
    <w:rsid w:val="008233DE"/>
    <w:rsid w:val="00824045"/>
    <w:rsid w:val="008267BD"/>
    <w:rsid w:val="00826B9A"/>
    <w:rsid w:val="00831D99"/>
    <w:rsid w:val="00832284"/>
    <w:rsid w:val="00841612"/>
    <w:rsid w:val="00842757"/>
    <w:rsid w:val="00843CC2"/>
    <w:rsid w:val="00844990"/>
    <w:rsid w:val="008518ED"/>
    <w:rsid w:val="0085266D"/>
    <w:rsid w:val="008600D4"/>
    <w:rsid w:val="00864819"/>
    <w:rsid w:val="00870EDB"/>
    <w:rsid w:val="00870F63"/>
    <w:rsid w:val="00872D17"/>
    <w:rsid w:val="00873784"/>
    <w:rsid w:val="008741CC"/>
    <w:rsid w:val="00875304"/>
    <w:rsid w:val="0088004A"/>
    <w:rsid w:val="008817C2"/>
    <w:rsid w:val="00887514"/>
    <w:rsid w:val="00894E1B"/>
    <w:rsid w:val="008A1BC5"/>
    <w:rsid w:val="008A3841"/>
    <w:rsid w:val="008A5AA0"/>
    <w:rsid w:val="008A7891"/>
    <w:rsid w:val="008B1561"/>
    <w:rsid w:val="008B17BF"/>
    <w:rsid w:val="008B252C"/>
    <w:rsid w:val="008C1DF8"/>
    <w:rsid w:val="008C35A6"/>
    <w:rsid w:val="008D1B9C"/>
    <w:rsid w:val="008D3CC6"/>
    <w:rsid w:val="008D4AAB"/>
    <w:rsid w:val="008E224D"/>
    <w:rsid w:val="008E2F9E"/>
    <w:rsid w:val="008E567D"/>
    <w:rsid w:val="008E56C3"/>
    <w:rsid w:val="008E57E6"/>
    <w:rsid w:val="008E68DA"/>
    <w:rsid w:val="008F7AF2"/>
    <w:rsid w:val="009001DA"/>
    <w:rsid w:val="00902444"/>
    <w:rsid w:val="00902AA3"/>
    <w:rsid w:val="00906394"/>
    <w:rsid w:val="009110E3"/>
    <w:rsid w:val="00914C63"/>
    <w:rsid w:val="00915FEB"/>
    <w:rsid w:val="009173E0"/>
    <w:rsid w:val="009225C7"/>
    <w:rsid w:val="0092530B"/>
    <w:rsid w:val="00925F31"/>
    <w:rsid w:val="00926711"/>
    <w:rsid w:val="00927BE8"/>
    <w:rsid w:val="00927F89"/>
    <w:rsid w:val="0093409B"/>
    <w:rsid w:val="009341A6"/>
    <w:rsid w:val="00935A07"/>
    <w:rsid w:val="0094208C"/>
    <w:rsid w:val="00942F17"/>
    <w:rsid w:val="00943236"/>
    <w:rsid w:val="00944E2B"/>
    <w:rsid w:val="00945405"/>
    <w:rsid w:val="00952CEF"/>
    <w:rsid w:val="00955421"/>
    <w:rsid w:val="00956A6B"/>
    <w:rsid w:val="00962BFD"/>
    <w:rsid w:val="00965500"/>
    <w:rsid w:val="00965CD9"/>
    <w:rsid w:val="00965F86"/>
    <w:rsid w:val="0097720C"/>
    <w:rsid w:val="00977238"/>
    <w:rsid w:val="00980561"/>
    <w:rsid w:val="009805C1"/>
    <w:rsid w:val="00983776"/>
    <w:rsid w:val="00986E3F"/>
    <w:rsid w:val="00990BDC"/>
    <w:rsid w:val="00990E9C"/>
    <w:rsid w:val="009938F1"/>
    <w:rsid w:val="00994542"/>
    <w:rsid w:val="00994908"/>
    <w:rsid w:val="009A1A51"/>
    <w:rsid w:val="009A2E72"/>
    <w:rsid w:val="009A725D"/>
    <w:rsid w:val="009B11DC"/>
    <w:rsid w:val="009B160B"/>
    <w:rsid w:val="009B171B"/>
    <w:rsid w:val="009B1759"/>
    <w:rsid w:val="009B6F12"/>
    <w:rsid w:val="009C237B"/>
    <w:rsid w:val="009C3B94"/>
    <w:rsid w:val="009C46A4"/>
    <w:rsid w:val="009C4DD1"/>
    <w:rsid w:val="009D2FFC"/>
    <w:rsid w:val="009D32A8"/>
    <w:rsid w:val="009D37D6"/>
    <w:rsid w:val="009D3924"/>
    <w:rsid w:val="009D5D13"/>
    <w:rsid w:val="009D61D6"/>
    <w:rsid w:val="009E31C2"/>
    <w:rsid w:val="009E48CC"/>
    <w:rsid w:val="009E5A93"/>
    <w:rsid w:val="009E5CBD"/>
    <w:rsid w:val="009E79CF"/>
    <w:rsid w:val="009E7E49"/>
    <w:rsid w:val="009F0B7A"/>
    <w:rsid w:val="009F3154"/>
    <w:rsid w:val="00A000D8"/>
    <w:rsid w:val="00A05BCA"/>
    <w:rsid w:val="00A07187"/>
    <w:rsid w:val="00A073B6"/>
    <w:rsid w:val="00A10503"/>
    <w:rsid w:val="00A10D21"/>
    <w:rsid w:val="00A1211C"/>
    <w:rsid w:val="00A14406"/>
    <w:rsid w:val="00A200E9"/>
    <w:rsid w:val="00A20113"/>
    <w:rsid w:val="00A20D78"/>
    <w:rsid w:val="00A2215F"/>
    <w:rsid w:val="00A224FD"/>
    <w:rsid w:val="00A22839"/>
    <w:rsid w:val="00A23E19"/>
    <w:rsid w:val="00A25815"/>
    <w:rsid w:val="00A2646F"/>
    <w:rsid w:val="00A302DF"/>
    <w:rsid w:val="00A30CAE"/>
    <w:rsid w:val="00A33185"/>
    <w:rsid w:val="00A343D4"/>
    <w:rsid w:val="00A34A51"/>
    <w:rsid w:val="00A439D1"/>
    <w:rsid w:val="00A45D39"/>
    <w:rsid w:val="00A46FA0"/>
    <w:rsid w:val="00A523B7"/>
    <w:rsid w:val="00A53B04"/>
    <w:rsid w:val="00A53C3A"/>
    <w:rsid w:val="00A54661"/>
    <w:rsid w:val="00A56CC1"/>
    <w:rsid w:val="00A61486"/>
    <w:rsid w:val="00A64B7A"/>
    <w:rsid w:val="00A6563F"/>
    <w:rsid w:val="00A661F4"/>
    <w:rsid w:val="00A66326"/>
    <w:rsid w:val="00A706FA"/>
    <w:rsid w:val="00A7188F"/>
    <w:rsid w:val="00A71CEB"/>
    <w:rsid w:val="00A7271A"/>
    <w:rsid w:val="00A74D79"/>
    <w:rsid w:val="00A7688B"/>
    <w:rsid w:val="00A81E19"/>
    <w:rsid w:val="00A855C5"/>
    <w:rsid w:val="00A864DE"/>
    <w:rsid w:val="00A86773"/>
    <w:rsid w:val="00A873BF"/>
    <w:rsid w:val="00A877DF"/>
    <w:rsid w:val="00A952A4"/>
    <w:rsid w:val="00A955D8"/>
    <w:rsid w:val="00A96D7E"/>
    <w:rsid w:val="00A9723B"/>
    <w:rsid w:val="00AB6A93"/>
    <w:rsid w:val="00AB795F"/>
    <w:rsid w:val="00AC1E27"/>
    <w:rsid w:val="00AC5EF5"/>
    <w:rsid w:val="00AC6312"/>
    <w:rsid w:val="00AC6C69"/>
    <w:rsid w:val="00AC6D88"/>
    <w:rsid w:val="00AD19F7"/>
    <w:rsid w:val="00AD1E77"/>
    <w:rsid w:val="00AD42B3"/>
    <w:rsid w:val="00AD6D80"/>
    <w:rsid w:val="00AE00B3"/>
    <w:rsid w:val="00AE2EB2"/>
    <w:rsid w:val="00AE32A6"/>
    <w:rsid w:val="00AE39D4"/>
    <w:rsid w:val="00AE4D77"/>
    <w:rsid w:val="00AE6370"/>
    <w:rsid w:val="00AF10CE"/>
    <w:rsid w:val="00AF207A"/>
    <w:rsid w:val="00AF22A1"/>
    <w:rsid w:val="00AF31F7"/>
    <w:rsid w:val="00AF4CFA"/>
    <w:rsid w:val="00AF5732"/>
    <w:rsid w:val="00AF63AE"/>
    <w:rsid w:val="00AF6404"/>
    <w:rsid w:val="00B00604"/>
    <w:rsid w:val="00B008A4"/>
    <w:rsid w:val="00B03408"/>
    <w:rsid w:val="00B1151B"/>
    <w:rsid w:val="00B1160D"/>
    <w:rsid w:val="00B139FB"/>
    <w:rsid w:val="00B1507A"/>
    <w:rsid w:val="00B15C4E"/>
    <w:rsid w:val="00B1620D"/>
    <w:rsid w:val="00B165B9"/>
    <w:rsid w:val="00B238F5"/>
    <w:rsid w:val="00B23952"/>
    <w:rsid w:val="00B272C1"/>
    <w:rsid w:val="00B3599E"/>
    <w:rsid w:val="00B368D2"/>
    <w:rsid w:val="00B444E6"/>
    <w:rsid w:val="00B45BFD"/>
    <w:rsid w:val="00B473BC"/>
    <w:rsid w:val="00B50087"/>
    <w:rsid w:val="00B52011"/>
    <w:rsid w:val="00B53820"/>
    <w:rsid w:val="00B53A5B"/>
    <w:rsid w:val="00B53EFF"/>
    <w:rsid w:val="00B54AFA"/>
    <w:rsid w:val="00B57B24"/>
    <w:rsid w:val="00B601BB"/>
    <w:rsid w:val="00B635A4"/>
    <w:rsid w:val="00B671A4"/>
    <w:rsid w:val="00B7071C"/>
    <w:rsid w:val="00B74CBE"/>
    <w:rsid w:val="00B804E8"/>
    <w:rsid w:val="00B81DCC"/>
    <w:rsid w:val="00B8605D"/>
    <w:rsid w:val="00B90A2F"/>
    <w:rsid w:val="00B91462"/>
    <w:rsid w:val="00B918F4"/>
    <w:rsid w:val="00B97369"/>
    <w:rsid w:val="00BA1FA5"/>
    <w:rsid w:val="00BA1FFC"/>
    <w:rsid w:val="00BA3622"/>
    <w:rsid w:val="00BA3B38"/>
    <w:rsid w:val="00BA71F6"/>
    <w:rsid w:val="00BB0DD8"/>
    <w:rsid w:val="00BB0FE3"/>
    <w:rsid w:val="00BB21FB"/>
    <w:rsid w:val="00BB45A6"/>
    <w:rsid w:val="00BB5AEA"/>
    <w:rsid w:val="00BB61DC"/>
    <w:rsid w:val="00BC206C"/>
    <w:rsid w:val="00BC2847"/>
    <w:rsid w:val="00BC431A"/>
    <w:rsid w:val="00BC4DED"/>
    <w:rsid w:val="00BC7009"/>
    <w:rsid w:val="00BC773A"/>
    <w:rsid w:val="00BD1396"/>
    <w:rsid w:val="00BE1F77"/>
    <w:rsid w:val="00BF5AFA"/>
    <w:rsid w:val="00BF74FA"/>
    <w:rsid w:val="00C006B2"/>
    <w:rsid w:val="00C014F0"/>
    <w:rsid w:val="00C01A35"/>
    <w:rsid w:val="00C0280D"/>
    <w:rsid w:val="00C02FE9"/>
    <w:rsid w:val="00C03772"/>
    <w:rsid w:val="00C04EDA"/>
    <w:rsid w:val="00C119A2"/>
    <w:rsid w:val="00C21DD6"/>
    <w:rsid w:val="00C226B2"/>
    <w:rsid w:val="00C41B43"/>
    <w:rsid w:val="00C423DA"/>
    <w:rsid w:val="00C441F7"/>
    <w:rsid w:val="00C44B82"/>
    <w:rsid w:val="00C46D10"/>
    <w:rsid w:val="00C46E1C"/>
    <w:rsid w:val="00C475C2"/>
    <w:rsid w:val="00C52634"/>
    <w:rsid w:val="00C53F1A"/>
    <w:rsid w:val="00C54E6B"/>
    <w:rsid w:val="00C57267"/>
    <w:rsid w:val="00C616FF"/>
    <w:rsid w:val="00C62B63"/>
    <w:rsid w:val="00C65CF4"/>
    <w:rsid w:val="00C66762"/>
    <w:rsid w:val="00C72B5B"/>
    <w:rsid w:val="00C7444D"/>
    <w:rsid w:val="00C77234"/>
    <w:rsid w:val="00C77574"/>
    <w:rsid w:val="00C77D77"/>
    <w:rsid w:val="00C81B0B"/>
    <w:rsid w:val="00C82313"/>
    <w:rsid w:val="00C83362"/>
    <w:rsid w:val="00C835DD"/>
    <w:rsid w:val="00C86610"/>
    <w:rsid w:val="00C869F3"/>
    <w:rsid w:val="00C92109"/>
    <w:rsid w:val="00C923F7"/>
    <w:rsid w:val="00CA101C"/>
    <w:rsid w:val="00CA2949"/>
    <w:rsid w:val="00CA379A"/>
    <w:rsid w:val="00CA7833"/>
    <w:rsid w:val="00CB1607"/>
    <w:rsid w:val="00CB1B5D"/>
    <w:rsid w:val="00CB5370"/>
    <w:rsid w:val="00CC18AC"/>
    <w:rsid w:val="00CC1EA6"/>
    <w:rsid w:val="00CC4AD4"/>
    <w:rsid w:val="00CC79E8"/>
    <w:rsid w:val="00CD0ABB"/>
    <w:rsid w:val="00CD28DE"/>
    <w:rsid w:val="00CD7ABD"/>
    <w:rsid w:val="00CD7D5D"/>
    <w:rsid w:val="00CD7F33"/>
    <w:rsid w:val="00CE2A5A"/>
    <w:rsid w:val="00CE3AD4"/>
    <w:rsid w:val="00CE3E1B"/>
    <w:rsid w:val="00CE453E"/>
    <w:rsid w:val="00CE6213"/>
    <w:rsid w:val="00CE7B62"/>
    <w:rsid w:val="00CF0621"/>
    <w:rsid w:val="00CF0FC4"/>
    <w:rsid w:val="00CF173E"/>
    <w:rsid w:val="00CF2485"/>
    <w:rsid w:val="00CF3AC6"/>
    <w:rsid w:val="00CF6932"/>
    <w:rsid w:val="00CF6997"/>
    <w:rsid w:val="00CF6AC9"/>
    <w:rsid w:val="00D00ED6"/>
    <w:rsid w:val="00D01FE3"/>
    <w:rsid w:val="00D0381E"/>
    <w:rsid w:val="00D0400E"/>
    <w:rsid w:val="00D06CA3"/>
    <w:rsid w:val="00D076BB"/>
    <w:rsid w:val="00D07F46"/>
    <w:rsid w:val="00D170E5"/>
    <w:rsid w:val="00D176AE"/>
    <w:rsid w:val="00D32E78"/>
    <w:rsid w:val="00D33C3F"/>
    <w:rsid w:val="00D3755B"/>
    <w:rsid w:val="00D37F2F"/>
    <w:rsid w:val="00D415B9"/>
    <w:rsid w:val="00D475B9"/>
    <w:rsid w:val="00D47B74"/>
    <w:rsid w:val="00D50C4A"/>
    <w:rsid w:val="00D528E8"/>
    <w:rsid w:val="00D54007"/>
    <w:rsid w:val="00D56758"/>
    <w:rsid w:val="00D6054E"/>
    <w:rsid w:val="00D64272"/>
    <w:rsid w:val="00D711A1"/>
    <w:rsid w:val="00D73A0E"/>
    <w:rsid w:val="00D74B83"/>
    <w:rsid w:val="00D771D0"/>
    <w:rsid w:val="00D822A0"/>
    <w:rsid w:val="00D82574"/>
    <w:rsid w:val="00D835CF"/>
    <w:rsid w:val="00D8481F"/>
    <w:rsid w:val="00D858CF"/>
    <w:rsid w:val="00D86FAE"/>
    <w:rsid w:val="00D903B9"/>
    <w:rsid w:val="00DA176F"/>
    <w:rsid w:val="00DA26FB"/>
    <w:rsid w:val="00DA36BE"/>
    <w:rsid w:val="00DA69AD"/>
    <w:rsid w:val="00DA6E63"/>
    <w:rsid w:val="00DA6E92"/>
    <w:rsid w:val="00DB10D1"/>
    <w:rsid w:val="00DB6C3D"/>
    <w:rsid w:val="00DC5ACF"/>
    <w:rsid w:val="00DC698B"/>
    <w:rsid w:val="00DC77B6"/>
    <w:rsid w:val="00DD16B6"/>
    <w:rsid w:val="00DD3573"/>
    <w:rsid w:val="00DD7468"/>
    <w:rsid w:val="00DE25E9"/>
    <w:rsid w:val="00DE3E26"/>
    <w:rsid w:val="00DE4391"/>
    <w:rsid w:val="00DE718D"/>
    <w:rsid w:val="00DE71D3"/>
    <w:rsid w:val="00DE72CF"/>
    <w:rsid w:val="00DE7C37"/>
    <w:rsid w:val="00DF08A0"/>
    <w:rsid w:val="00DF3188"/>
    <w:rsid w:val="00DF41D8"/>
    <w:rsid w:val="00DF7C6A"/>
    <w:rsid w:val="00E0136D"/>
    <w:rsid w:val="00E01CCD"/>
    <w:rsid w:val="00E02A05"/>
    <w:rsid w:val="00E02FB2"/>
    <w:rsid w:val="00E03177"/>
    <w:rsid w:val="00E0339F"/>
    <w:rsid w:val="00E06AE2"/>
    <w:rsid w:val="00E06FE6"/>
    <w:rsid w:val="00E07359"/>
    <w:rsid w:val="00E079FF"/>
    <w:rsid w:val="00E1080C"/>
    <w:rsid w:val="00E1264A"/>
    <w:rsid w:val="00E13BEF"/>
    <w:rsid w:val="00E14778"/>
    <w:rsid w:val="00E160CB"/>
    <w:rsid w:val="00E17526"/>
    <w:rsid w:val="00E215C3"/>
    <w:rsid w:val="00E21F26"/>
    <w:rsid w:val="00E24D11"/>
    <w:rsid w:val="00E33087"/>
    <w:rsid w:val="00E375EE"/>
    <w:rsid w:val="00E379F3"/>
    <w:rsid w:val="00E46728"/>
    <w:rsid w:val="00E4680A"/>
    <w:rsid w:val="00E4739F"/>
    <w:rsid w:val="00E6003A"/>
    <w:rsid w:val="00E600A3"/>
    <w:rsid w:val="00E678EB"/>
    <w:rsid w:val="00E70760"/>
    <w:rsid w:val="00E74396"/>
    <w:rsid w:val="00E75615"/>
    <w:rsid w:val="00E77A4B"/>
    <w:rsid w:val="00E77D2B"/>
    <w:rsid w:val="00E83645"/>
    <w:rsid w:val="00E85EEA"/>
    <w:rsid w:val="00E862D7"/>
    <w:rsid w:val="00E863BD"/>
    <w:rsid w:val="00E86545"/>
    <w:rsid w:val="00E9253C"/>
    <w:rsid w:val="00E9443D"/>
    <w:rsid w:val="00EA2504"/>
    <w:rsid w:val="00EB13C2"/>
    <w:rsid w:val="00EB3CF0"/>
    <w:rsid w:val="00EB45B5"/>
    <w:rsid w:val="00EB4BFF"/>
    <w:rsid w:val="00EB5E57"/>
    <w:rsid w:val="00EB61DB"/>
    <w:rsid w:val="00EB7DEB"/>
    <w:rsid w:val="00EC070D"/>
    <w:rsid w:val="00EC086E"/>
    <w:rsid w:val="00EC22CF"/>
    <w:rsid w:val="00EC4159"/>
    <w:rsid w:val="00EC6DAC"/>
    <w:rsid w:val="00ED1AD0"/>
    <w:rsid w:val="00ED2098"/>
    <w:rsid w:val="00ED3922"/>
    <w:rsid w:val="00ED47E4"/>
    <w:rsid w:val="00ED4AFD"/>
    <w:rsid w:val="00ED5824"/>
    <w:rsid w:val="00ED6776"/>
    <w:rsid w:val="00ED7B2D"/>
    <w:rsid w:val="00EE0B7D"/>
    <w:rsid w:val="00EE313D"/>
    <w:rsid w:val="00EE4186"/>
    <w:rsid w:val="00EE4FBE"/>
    <w:rsid w:val="00EF04DF"/>
    <w:rsid w:val="00EF1932"/>
    <w:rsid w:val="00EF3098"/>
    <w:rsid w:val="00EF5317"/>
    <w:rsid w:val="00EF5434"/>
    <w:rsid w:val="00F00299"/>
    <w:rsid w:val="00F0042F"/>
    <w:rsid w:val="00F00946"/>
    <w:rsid w:val="00F02DD7"/>
    <w:rsid w:val="00F02DE9"/>
    <w:rsid w:val="00F035C6"/>
    <w:rsid w:val="00F038A1"/>
    <w:rsid w:val="00F06E4E"/>
    <w:rsid w:val="00F10A83"/>
    <w:rsid w:val="00F13CEA"/>
    <w:rsid w:val="00F14578"/>
    <w:rsid w:val="00F151E5"/>
    <w:rsid w:val="00F172AB"/>
    <w:rsid w:val="00F21C4E"/>
    <w:rsid w:val="00F22043"/>
    <w:rsid w:val="00F22754"/>
    <w:rsid w:val="00F238E0"/>
    <w:rsid w:val="00F24E94"/>
    <w:rsid w:val="00F2690E"/>
    <w:rsid w:val="00F319DA"/>
    <w:rsid w:val="00F356B0"/>
    <w:rsid w:val="00F42E1E"/>
    <w:rsid w:val="00F45C5D"/>
    <w:rsid w:val="00F47ACE"/>
    <w:rsid w:val="00F507DB"/>
    <w:rsid w:val="00F51E01"/>
    <w:rsid w:val="00F56136"/>
    <w:rsid w:val="00F5649A"/>
    <w:rsid w:val="00F63556"/>
    <w:rsid w:val="00F65021"/>
    <w:rsid w:val="00F651A7"/>
    <w:rsid w:val="00F67033"/>
    <w:rsid w:val="00F67DC5"/>
    <w:rsid w:val="00F704A0"/>
    <w:rsid w:val="00F734EE"/>
    <w:rsid w:val="00F811F3"/>
    <w:rsid w:val="00F81353"/>
    <w:rsid w:val="00F82342"/>
    <w:rsid w:val="00F83422"/>
    <w:rsid w:val="00F84CE6"/>
    <w:rsid w:val="00F85BBD"/>
    <w:rsid w:val="00F877DB"/>
    <w:rsid w:val="00F87A14"/>
    <w:rsid w:val="00F90004"/>
    <w:rsid w:val="00F90F2D"/>
    <w:rsid w:val="00F91AE4"/>
    <w:rsid w:val="00F93C8B"/>
    <w:rsid w:val="00F949EB"/>
    <w:rsid w:val="00F94B85"/>
    <w:rsid w:val="00F959DD"/>
    <w:rsid w:val="00F960D5"/>
    <w:rsid w:val="00FA3627"/>
    <w:rsid w:val="00FA3F7D"/>
    <w:rsid w:val="00FB0D60"/>
    <w:rsid w:val="00FB1231"/>
    <w:rsid w:val="00FB531F"/>
    <w:rsid w:val="00FB5556"/>
    <w:rsid w:val="00FC1C5C"/>
    <w:rsid w:val="00FC2CD0"/>
    <w:rsid w:val="00FC2CFD"/>
    <w:rsid w:val="00FC4027"/>
    <w:rsid w:val="00FC5EFC"/>
    <w:rsid w:val="00FC6BB2"/>
    <w:rsid w:val="00FC6CAB"/>
    <w:rsid w:val="00FD5C81"/>
    <w:rsid w:val="00FD639A"/>
    <w:rsid w:val="00FD685D"/>
    <w:rsid w:val="00FD6BC6"/>
    <w:rsid w:val="00FE17E2"/>
    <w:rsid w:val="00FE1CF5"/>
    <w:rsid w:val="00FE6708"/>
    <w:rsid w:val="00FF5B5C"/>
    <w:rsid w:val="00FF6446"/>
    <w:rsid w:val="00FF6E4B"/>
    <w:rsid w:val="01ABD409"/>
    <w:rsid w:val="020D56F1"/>
    <w:rsid w:val="021252DD"/>
    <w:rsid w:val="02A78387"/>
    <w:rsid w:val="04CCE3AE"/>
    <w:rsid w:val="04F7AE97"/>
    <w:rsid w:val="059E16D5"/>
    <w:rsid w:val="05A15097"/>
    <w:rsid w:val="05CB1457"/>
    <w:rsid w:val="0670FEB2"/>
    <w:rsid w:val="06D1857B"/>
    <w:rsid w:val="07167C6A"/>
    <w:rsid w:val="078FF8BF"/>
    <w:rsid w:val="08588115"/>
    <w:rsid w:val="0A260DDD"/>
    <w:rsid w:val="0A5206A7"/>
    <w:rsid w:val="0A820B1A"/>
    <w:rsid w:val="0C4DFDA3"/>
    <w:rsid w:val="0C6EEF97"/>
    <w:rsid w:val="0CA0D8ED"/>
    <w:rsid w:val="0CB9CE79"/>
    <w:rsid w:val="0D182038"/>
    <w:rsid w:val="0D6706E6"/>
    <w:rsid w:val="0D7BD82A"/>
    <w:rsid w:val="0E8214C6"/>
    <w:rsid w:val="0EED6D90"/>
    <w:rsid w:val="0EF1F71C"/>
    <w:rsid w:val="100C679D"/>
    <w:rsid w:val="12FE79F8"/>
    <w:rsid w:val="1338C1D5"/>
    <w:rsid w:val="13C3FEE0"/>
    <w:rsid w:val="13D688F1"/>
    <w:rsid w:val="1401E42B"/>
    <w:rsid w:val="14D19246"/>
    <w:rsid w:val="14ED4358"/>
    <w:rsid w:val="151D47CB"/>
    <w:rsid w:val="15F84708"/>
    <w:rsid w:val="1638AB6B"/>
    <w:rsid w:val="1696F491"/>
    <w:rsid w:val="16A7C1C6"/>
    <w:rsid w:val="16AEEE80"/>
    <w:rsid w:val="16F71EAF"/>
    <w:rsid w:val="170BEFF3"/>
    <w:rsid w:val="17B22B65"/>
    <w:rsid w:val="17B25831"/>
    <w:rsid w:val="17F41994"/>
    <w:rsid w:val="18284FB2"/>
    <w:rsid w:val="18B14171"/>
    <w:rsid w:val="18B1AD6B"/>
    <w:rsid w:val="18D5881F"/>
    <w:rsid w:val="192ABDC6"/>
    <w:rsid w:val="1A471D85"/>
    <w:rsid w:val="1A4BA711"/>
    <w:rsid w:val="1A607855"/>
    <w:rsid w:val="1B42CD03"/>
    <w:rsid w:val="1B9B77D9"/>
    <w:rsid w:val="1BAB0E81"/>
    <w:rsid w:val="1BB52393"/>
    <w:rsid w:val="1D6F5375"/>
    <w:rsid w:val="1EB51A49"/>
    <w:rsid w:val="1FAAA021"/>
    <w:rsid w:val="21356B04"/>
    <w:rsid w:val="21EC2393"/>
    <w:rsid w:val="224DF7B4"/>
    <w:rsid w:val="224E999A"/>
    <w:rsid w:val="23B6646C"/>
    <w:rsid w:val="24277D5F"/>
    <w:rsid w:val="24993EFF"/>
    <w:rsid w:val="256741D1"/>
    <w:rsid w:val="25F9998E"/>
    <w:rsid w:val="261BE7FE"/>
    <w:rsid w:val="2632A6FC"/>
    <w:rsid w:val="2645F53E"/>
    <w:rsid w:val="2697ADCA"/>
    <w:rsid w:val="26D1025E"/>
    <w:rsid w:val="274765BC"/>
    <w:rsid w:val="278B515A"/>
    <w:rsid w:val="2804EEE7"/>
    <w:rsid w:val="2849C49E"/>
    <w:rsid w:val="2896C77B"/>
    <w:rsid w:val="28AC3AA5"/>
    <w:rsid w:val="28C921A4"/>
    <w:rsid w:val="291D2A5E"/>
    <w:rsid w:val="2932BFD8"/>
    <w:rsid w:val="2A239B82"/>
    <w:rsid w:val="2A3297DC"/>
    <w:rsid w:val="2A861189"/>
    <w:rsid w:val="2AD94970"/>
    <w:rsid w:val="2B19215A"/>
    <w:rsid w:val="2BE23F37"/>
    <w:rsid w:val="2BE578F9"/>
    <w:rsid w:val="2C049220"/>
    <w:rsid w:val="2CABA6F2"/>
    <w:rsid w:val="2D363C95"/>
    <w:rsid w:val="2DA41CAE"/>
    <w:rsid w:val="2DD42121"/>
    <w:rsid w:val="2F7DF392"/>
    <w:rsid w:val="2F95FE98"/>
    <w:rsid w:val="2FA1717C"/>
    <w:rsid w:val="31AD9911"/>
    <w:rsid w:val="32601958"/>
    <w:rsid w:val="32922605"/>
    <w:rsid w:val="32959AF1"/>
    <w:rsid w:val="329E8847"/>
    <w:rsid w:val="32FDF6DB"/>
    <w:rsid w:val="340064EF"/>
    <w:rsid w:val="353195F2"/>
    <w:rsid w:val="353475EB"/>
    <w:rsid w:val="36CC9982"/>
    <w:rsid w:val="373F28EE"/>
    <w:rsid w:val="3753FA32"/>
    <w:rsid w:val="3951D2A0"/>
    <w:rsid w:val="39E90A98"/>
    <w:rsid w:val="3A193043"/>
    <w:rsid w:val="3B07A7FA"/>
    <w:rsid w:val="3B28E7FA"/>
    <w:rsid w:val="3CB6B608"/>
    <w:rsid w:val="3DB28E5C"/>
    <w:rsid w:val="3E538288"/>
    <w:rsid w:val="3EFD2488"/>
    <w:rsid w:val="3F6EE628"/>
    <w:rsid w:val="3F8A536B"/>
    <w:rsid w:val="40969709"/>
    <w:rsid w:val="4122DF44"/>
    <w:rsid w:val="4167D633"/>
    <w:rsid w:val="41B45506"/>
    <w:rsid w:val="424C273F"/>
    <w:rsid w:val="449C524F"/>
    <w:rsid w:val="44DA2B60"/>
    <w:rsid w:val="455BB8B2"/>
    <w:rsid w:val="45BF70A4"/>
    <w:rsid w:val="46F4227C"/>
    <w:rsid w:val="473162B5"/>
    <w:rsid w:val="4800DDEE"/>
    <w:rsid w:val="48A9C84A"/>
    <w:rsid w:val="49CFD7D8"/>
    <w:rsid w:val="4A0A22D9"/>
    <w:rsid w:val="4A4208D2"/>
    <w:rsid w:val="4A5E210E"/>
    <w:rsid w:val="4A75BAD3"/>
    <w:rsid w:val="4AC8961D"/>
    <w:rsid w:val="4CA6FF8D"/>
    <w:rsid w:val="4D36176F"/>
    <w:rsid w:val="4DB89208"/>
    <w:rsid w:val="4F2FBD94"/>
    <w:rsid w:val="4F378F00"/>
    <w:rsid w:val="4F947F5C"/>
    <w:rsid w:val="50216333"/>
    <w:rsid w:val="50450E45"/>
    <w:rsid w:val="5052F2A0"/>
    <w:rsid w:val="5067C3E4"/>
    <w:rsid w:val="512EBC26"/>
    <w:rsid w:val="51431EC8"/>
    <w:rsid w:val="518423A3"/>
    <w:rsid w:val="534CBFB0"/>
    <w:rsid w:val="53B7C2BA"/>
    <w:rsid w:val="549EA0F4"/>
    <w:rsid w:val="54BB2CED"/>
    <w:rsid w:val="54BEB1C1"/>
    <w:rsid w:val="55DAD3D7"/>
    <w:rsid w:val="572C9D2E"/>
    <w:rsid w:val="576EF44A"/>
    <w:rsid w:val="57BE12F0"/>
    <w:rsid w:val="58CF617E"/>
    <w:rsid w:val="5908CE47"/>
    <w:rsid w:val="5946A8C9"/>
    <w:rsid w:val="598B9FB8"/>
    <w:rsid w:val="5997E9D4"/>
    <w:rsid w:val="5A913EF5"/>
    <w:rsid w:val="5AA61039"/>
    <w:rsid w:val="5B0095CD"/>
    <w:rsid w:val="5B6C3E32"/>
    <w:rsid w:val="5BA97A6C"/>
    <w:rsid w:val="5D8D6662"/>
    <w:rsid w:val="5DD042E6"/>
    <w:rsid w:val="60315FDB"/>
    <w:rsid w:val="608FD468"/>
    <w:rsid w:val="60A8C41E"/>
    <w:rsid w:val="615F8FE1"/>
    <w:rsid w:val="61AD5344"/>
    <w:rsid w:val="6211FE55"/>
    <w:rsid w:val="624F3A8F"/>
    <w:rsid w:val="6278FE4F"/>
    <w:rsid w:val="62C0FC2F"/>
    <w:rsid w:val="630BC6FA"/>
    <w:rsid w:val="631EF03D"/>
    <w:rsid w:val="637F6F73"/>
    <w:rsid w:val="6425D7B1"/>
    <w:rsid w:val="643DE2B7"/>
    <w:rsid w:val="65066B0D"/>
    <w:rsid w:val="655DD8E3"/>
    <w:rsid w:val="65FFC02E"/>
    <w:rsid w:val="6610FB05"/>
    <w:rsid w:val="66D3F7D5"/>
    <w:rsid w:val="6737AFC7"/>
    <w:rsid w:val="676707A6"/>
    <w:rsid w:val="676F6FFD"/>
    <w:rsid w:val="677CA6B6"/>
    <w:rsid w:val="682FC8D8"/>
    <w:rsid w:val="6949A9B5"/>
    <w:rsid w:val="6967B871"/>
    <w:rsid w:val="69FD13A2"/>
    <w:rsid w:val="6A8378BC"/>
    <w:rsid w:val="6AB39E67"/>
    <w:rsid w:val="6AD36422"/>
    <w:rsid w:val="6BBCA9D9"/>
    <w:rsid w:val="6BD4E09B"/>
    <w:rsid w:val="6CE73D7E"/>
    <w:rsid w:val="6E3BA1F1"/>
    <w:rsid w:val="6E762B38"/>
    <w:rsid w:val="6E91F36F"/>
    <w:rsid w:val="6EC8E0B0"/>
    <w:rsid w:val="6FAB673B"/>
    <w:rsid w:val="702E6543"/>
    <w:rsid w:val="70A7ACE8"/>
    <w:rsid w:val="70FEDA24"/>
    <w:rsid w:val="713C6AF7"/>
    <w:rsid w:val="716E2FCE"/>
    <w:rsid w:val="7344DE89"/>
    <w:rsid w:val="7397244C"/>
    <w:rsid w:val="7417C666"/>
    <w:rsid w:val="74637BEB"/>
    <w:rsid w:val="74F78BFB"/>
    <w:rsid w:val="75D8A7BE"/>
    <w:rsid w:val="76369439"/>
    <w:rsid w:val="770E624D"/>
    <w:rsid w:val="77F2A177"/>
    <w:rsid w:val="785539D3"/>
    <w:rsid w:val="78CABA19"/>
    <w:rsid w:val="78CB931A"/>
    <w:rsid w:val="796D9D83"/>
    <w:rsid w:val="79892D5D"/>
    <w:rsid w:val="79EBA364"/>
    <w:rsid w:val="7A1D3D6D"/>
    <w:rsid w:val="7D416DB1"/>
    <w:rsid w:val="7DE354FC"/>
    <w:rsid w:val="7E269CA2"/>
    <w:rsid w:val="7E3986C2"/>
    <w:rsid w:val="7EB78CA3"/>
    <w:rsid w:val="7EFB7EDA"/>
    <w:rsid w:val="7F1389E0"/>
    <w:rsid w:val="7F8DCC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375A8589-E7F1-41D8-BFEA-81E6BB95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Emphasis">
    <w:name w:val="Emphasis"/>
    <w:basedOn w:val="DefaultParagraphFont"/>
    <w:qFormat/>
    <w:rsid w:val="008817C2"/>
    <w:rPr>
      <w:i/>
      <w:iCs/>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2D4E4F"/>
    <w:rPr>
      <w:b/>
      <w:bCs/>
    </w:rPr>
  </w:style>
  <w:style w:type="character" w:customStyle="1" w:styleId="CommentSubjectChar">
    <w:name w:val="Comment Subject Char"/>
    <w:basedOn w:val="CommentTextChar"/>
    <w:link w:val="CommentSubject"/>
    <w:semiHidden/>
    <w:rsid w:val="002D4E4F"/>
    <w:rPr>
      <w:rFonts w:ascii="Arial" w:hAnsi="Arial"/>
      <w:b/>
      <w:bCs/>
      <w:lang w:eastAsia="en-US"/>
    </w:rPr>
  </w:style>
  <w:style w:type="paragraph" w:styleId="Revision">
    <w:name w:val="Revision"/>
    <w:hidden/>
    <w:uiPriority w:val="99"/>
    <w:semiHidden/>
    <w:rsid w:val="002A095D"/>
    <w:rPr>
      <w:rFonts w:ascii="Arial" w:hAnsi="Arial"/>
      <w:sz w:val="24"/>
      <w:lang w:eastAsia="en-US"/>
    </w:rPr>
  </w:style>
  <w:style w:type="paragraph" w:customStyle="1" w:styleId="CharCharCharChar0">
    <w:name w:val="Char Char Char Char"/>
    <w:basedOn w:val="Normal"/>
    <w:locked/>
    <w:rsid w:val="00E1264A"/>
    <w:pPr>
      <w:spacing w:after="160" w:line="240" w:lineRule="exact"/>
    </w:pPr>
    <w:rPr>
      <w:rFonts w:ascii="Verdana" w:hAnsi="Verdana"/>
      <w:sz w:val="20"/>
      <w:lang w:val="en-US"/>
    </w:rPr>
  </w:style>
  <w:style w:type="paragraph" w:customStyle="1" w:styleId="CharCharCharChar1">
    <w:name w:val="Char Char Char Char"/>
    <w:basedOn w:val="Normal"/>
    <w:locked/>
    <w:rsid w:val="006A591D"/>
    <w:pPr>
      <w:spacing w:after="160" w:line="240" w:lineRule="exact"/>
    </w:pPr>
    <w:rPr>
      <w:rFonts w:ascii="Verdana" w:hAnsi="Verdana"/>
      <w:sz w:val="20"/>
      <w:lang w:val="en-US"/>
    </w:rPr>
  </w:style>
  <w:style w:type="paragraph" w:customStyle="1" w:styleId="CharCharCharChar2">
    <w:name w:val="Char Char Char Char"/>
    <w:basedOn w:val="Normal"/>
    <w:locked/>
    <w:rsid w:val="00F949EB"/>
    <w:pPr>
      <w:spacing w:after="160" w:line="240" w:lineRule="exact"/>
    </w:pPr>
    <w:rPr>
      <w:rFonts w:ascii="Verdana" w:hAnsi="Verdana"/>
      <w:sz w:val="20"/>
      <w:lang w:val="en-US"/>
    </w:rPr>
  </w:style>
  <w:style w:type="paragraph" w:customStyle="1" w:styleId="Default">
    <w:name w:val="Default"/>
    <w:rsid w:val="005D0400"/>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B1151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73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58488627">
      <w:bodyDiv w:val="1"/>
      <w:marLeft w:val="0"/>
      <w:marRight w:val="0"/>
      <w:marTop w:val="0"/>
      <w:marBottom w:val="0"/>
      <w:divBdr>
        <w:top w:val="none" w:sz="0" w:space="0" w:color="auto"/>
        <w:left w:val="none" w:sz="0" w:space="0" w:color="auto"/>
        <w:bottom w:val="none" w:sz="0" w:space="0" w:color="auto"/>
        <w:right w:val="none" w:sz="0" w:space="0" w:color="auto"/>
      </w:divBdr>
    </w:div>
    <w:div w:id="363750637">
      <w:bodyDiv w:val="1"/>
      <w:marLeft w:val="0"/>
      <w:marRight w:val="0"/>
      <w:marTop w:val="0"/>
      <w:marBottom w:val="0"/>
      <w:divBdr>
        <w:top w:val="none" w:sz="0" w:space="0" w:color="auto"/>
        <w:left w:val="none" w:sz="0" w:space="0" w:color="auto"/>
        <w:bottom w:val="none" w:sz="0" w:space="0" w:color="auto"/>
        <w:right w:val="none" w:sz="0" w:space="0" w:color="auto"/>
      </w:divBdr>
    </w:div>
    <w:div w:id="41143734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1192294">
      <w:bodyDiv w:val="1"/>
      <w:marLeft w:val="0"/>
      <w:marRight w:val="0"/>
      <w:marTop w:val="0"/>
      <w:marBottom w:val="0"/>
      <w:divBdr>
        <w:top w:val="none" w:sz="0" w:space="0" w:color="auto"/>
        <w:left w:val="none" w:sz="0" w:space="0" w:color="auto"/>
        <w:bottom w:val="none" w:sz="0" w:space="0" w:color="auto"/>
        <w:right w:val="none" w:sz="0" w:space="0" w:color="auto"/>
      </w:divBdr>
    </w:div>
    <w:div w:id="835342789">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20801327">
      <w:bodyDiv w:val="1"/>
      <w:marLeft w:val="0"/>
      <w:marRight w:val="0"/>
      <w:marTop w:val="0"/>
      <w:marBottom w:val="0"/>
      <w:divBdr>
        <w:top w:val="none" w:sz="0" w:space="0" w:color="auto"/>
        <w:left w:val="none" w:sz="0" w:space="0" w:color="auto"/>
        <w:bottom w:val="none" w:sz="0" w:space="0" w:color="auto"/>
        <w:right w:val="none" w:sz="0" w:space="0" w:color="auto"/>
      </w:divBdr>
    </w:div>
    <w:div w:id="1183082179">
      <w:bodyDiv w:val="1"/>
      <w:marLeft w:val="0"/>
      <w:marRight w:val="0"/>
      <w:marTop w:val="0"/>
      <w:marBottom w:val="0"/>
      <w:divBdr>
        <w:top w:val="none" w:sz="0" w:space="0" w:color="auto"/>
        <w:left w:val="none" w:sz="0" w:space="0" w:color="auto"/>
        <w:bottom w:val="none" w:sz="0" w:space="0" w:color="auto"/>
        <w:right w:val="none" w:sz="0" w:space="0" w:color="auto"/>
      </w:divBdr>
    </w:div>
    <w:div w:id="1298293786">
      <w:bodyDiv w:val="1"/>
      <w:marLeft w:val="0"/>
      <w:marRight w:val="0"/>
      <w:marTop w:val="0"/>
      <w:marBottom w:val="0"/>
      <w:divBdr>
        <w:top w:val="none" w:sz="0" w:space="0" w:color="auto"/>
        <w:left w:val="none" w:sz="0" w:space="0" w:color="auto"/>
        <w:bottom w:val="none" w:sz="0" w:space="0" w:color="auto"/>
        <w:right w:val="none" w:sz="0" w:space="0" w:color="auto"/>
      </w:divBdr>
    </w:div>
    <w:div w:id="1427193572">
      <w:bodyDiv w:val="1"/>
      <w:marLeft w:val="0"/>
      <w:marRight w:val="0"/>
      <w:marTop w:val="0"/>
      <w:marBottom w:val="0"/>
      <w:divBdr>
        <w:top w:val="none" w:sz="0" w:space="0" w:color="auto"/>
        <w:left w:val="none" w:sz="0" w:space="0" w:color="auto"/>
        <w:bottom w:val="none" w:sz="0" w:space="0" w:color="auto"/>
        <w:right w:val="none" w:sz="0" w:space="0" w:color="auto"/>
      </w:divBdr>
    </w:div>
    <w:div w:id="1471287273">
      <w:bodyDiv w:val="1"/>
      <w:marLeft w:val="0"/>
      <w:marRight w:val="0"/>
      <w:marTop w:val="0"/>
      <w:marBottom w:val="0"/>
      <w:divBdr>
        <w:top w:val="none" w:sz="0" w:space="0" w:color="auto"/>
        <w:left w:val="none" w:sz="0" w:space="0" w:color="auto"/>
        <w:bottom w:val="none" w:sz="0" w:space="0" w:color="auto"/>
        <w:right w:val="none" w:sz="0" w:space="0" w:color="auto"/>
      </w:divBdr>
    </w:div>
    <w:div w:id="2025982762">
      <w:bodyDiv w:val="1"/>
      <w:marLeft w:val="0"/>
      <w:marRight w:val="0"/>
      <w:marTop w:val="0"/>
      <w:marBottom w:val="0"/>
      <w:divBdr>
        <w:top w:val="none" w:sz="0" w:space="0" w:color="auto"/>
        <w:left w:val="none" w:sz="0" w:space="0" w:color="auto"/>
        <w:bottom w:val="none" w:sz="0" w:space="0" w:color="auto"/>
        <w:right w:val="none" w:sz="0" w:space="0" w:color="auto"/>
      </w:divBdr>
    </w:div>
    <w:div w:id="21461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mbarashe.Manjonjori@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C2A912F3E1543B8951BA4626601FE" ma:contentTypeVersion="13" ma:contentTypeDescription="Create a new document." ma:contentTypeScope="" ma:versionID="5a38a118602a820774c4c41d9e2d375a">
  <xsd:schema xmlns:xsd="http://www.w3.org/2001/XMLSchema" xmlns:xs="http://www.w3.org/2001/XMLSchema" xmlns:p="http://schemas.microsoft.com/office/2006/metadata/properties" xmlns:ns2="9f52ade0-b25c-4f55-9528-93b79f1e7dd4" xmlns:ns3="3579789e-8e38-4cb4-b4ad-095fecc6a8e8" targetNamespace="http://schemas.microsoft.com/office/2006/metadata/properties" ma:root="true" ma:fieldsID="9d7478cef66a28c25b8bcc52f0fc85ae" ns2:_="" ns3:_="">
    <xsd:import namespace="9f52ade0-b25c-4f55-9528-93b79f1e7dd4"/>
    <xsd:import namespace="3579789e-8e38-4cb4-b4ad-095fecc6a8e8"/>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2ade0-b25c-4f55-9528-93b79f1e7d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6f49317-f6e5-46e6-a107-dc7514d66fd0}" ma:internalName="TaxCatchAll" ma:showField="CatchAllData" ma:web="9f52ade0-b25c-4f55-9528-93b79f1e7d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79789e-8e38-4cb4-b4ad-095fecc6a8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52ade0-b25c-4f55-9528-93b79f1e7dd4">
      <Value>12</Value>
    </TaxCatchAll>
    <TaxKeywordTaxHTField xmlns="9f52ade0-b25c-4f55-9528-93b79f1e7dd4">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363ef7cf-174b-4cfc-8343-d3e6a1e44fa6</TermId>
        </TermInfo>
      </Terms>
    </TaxKeywordTaxHTField>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A1A65-5777-44F1-8702-433647F2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2ade0-b25c-4f55-9528-93b79f1e7dd4"/>
    <ds:schemaRef ds:uri="3579789e-8e38-4cb4-b4ad-095fecc6a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6AFD-FFDF-4202-B381-8C84DCF440C0}">
  <ds:schemaRefs>
    <ds:schemaRef ds:uri="http://schemas.openxmlformats.org/officeDocument/2006/bibliography"/>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9f52ade0-b25c-4f55-9528-93b79f1e7dd4"/>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3698</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24414</CharactersWithSpaces>
  <SharedDoc>false</SharedDoc>
  <HLinks>
    <vt:vector size="6" baseType="variant">
      <vt:variant>
        <vt:i4>7077963</vt:i4>
      </vt:variant>
      <vt:variant>
        <vt:i4>0</vt:i4>
      </vt:variant>
      <vt:variant>
        <vt:i4>0</vt:i4>
      </vt:variant>
      <vt:variant>
        <vt:i4>5</vt:i4>
      </vt:variant>
      <vt:variant>
        <vt:lpwstr>mailto:Rukshan.Kariy@harrow.gov.uk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21</cp:revision>
  <cp:lastPrinted>2014-10-31T16:34:00Z</cp:lastPrinted>
  <dcterms:created xsi:type="dcterms:W3CDTF">2023-05-12T15:57:00Z</dcterms:created>
  <dcterms:modified xsi:type="dcterms:W3CDTF">2023-05-17T13:14:00Z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0x010100B28C2A912F3E1543B8951BA4626601FE</vt:lpwstr>
  </property>
  <property fmtid="{D5CDD505-2E9C-101B-9397-08002B2CF9AE}" pid="3" name="TaxKeyword">
    <vt:lpwstr>12;#Cabinet Report Template|363ef7cf-174b-4cfc-8343-d3e6a1e44fa6</vt:lpwstr>
  </property>
  <property fmtid="{D5CDD505-2E9C-101B-9397-08002B2CF9AE}" pid="4" name="SharedWithUsers">
    <vt:lpwstr>46;#David Hayes;#47;#Daniel Rinn;#29;#Rukshan Kariy</vt:lpwstr>
  </property>
</Properties>
</file>